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55" w:rsidRPr="00087CCF" w:rsidRDefault="00C907A7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 xml:space="preserve">Объявление </w:t>
      </w:r>
      <w:r w:rsidR="00B232AC" w:rsidRPr="00087CCF">
        <w:rPr>
          <w:rFonts w:ascii="Times New Roman" w:hAnsi="Times New Roman"/>
          <w:b/>
          <w:sz w:val="28"/>
          <w:szCs w:val="28"/>
        </w:rPr>
        <w:t>№</w:t>
      </w:r>
      <w:r w:rsidR="00684D73">
        <w:rPr>
          <w:rFonts w:ascii="Times New Roman" w:hAnsi="Times New Roman"/>
          <w:b/>
          <w:sz w:val="28"/>
          <w:szCs w:val="28"/>
        </w:rPr>
        <w:t>1</w:t>
      </w:r>
    </w:p>
    <w:p w:rsidR="002505B7" w:rsidRPr="00087CCF" w:rsidRDefault="00C907A7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 xml:space="preserve">о проведении закупа </w:t>
      </w:r>
      <w:r w:rsidR="00050457" w:rsidRPr="00087CCF">
        <w:rPr>
          <w:rFonts w:ascii="Times New Roman" w:hAnsi="Times New Roman"/>
          <w:b/>
          <w:sz w:val="28"/>
          <w:szCs w:val="28"/>
        </w:rPr>
        <w:t>лекарственных средств</w:t>
      </w:r>
      <w:r w:rsidR="0089147E" w:rsidRPr="00087CCF">
        <w:rPr>
          <w:rFonts w:ascii="Times New Roman" w:hAnsi="Times New Roman"/>
          <w:b/>
          <w:sz w:val="28"/>
          <w:szCs w:val="28"/>
        </w:rPr>
        <w:t xml:space="preserve"> </w:t>
      </w:r>
      <w:r w:rsidR="00041BD6" w:rsidRPr="00087CCF">
        <w:rPr>
          <w:rFonts w:ascii="Times New Roman" w:hAnsi="Times New Roman"/>
          <w:b/>
          <w:sz w:val="28"/>
          <w:szCs w:val="28"/>
        </w:rPr>
        <w:t xml:space="preserve">и медицинских изделий </w:t>
      </w:r>
      <w:r w:rsidRPr="00087CCF">
        <w:rPr>
          <w:rFonts w:ascii="Times New Roman" w:hAnsi="Times New Roman"/>
          <w:b/>
          <w:sz w:val="28"/>
          <w:szCs w:val="28"/>
        </w:rPr>
        <w:t>способом запроса ценовых предложений</w:t>
      </w:r>
      <w:r w:rsidR="00F42355" w:rsidRPr="00087CCF">
        <w:rPr>
          <w:rFonts w:ascii="Times New Roman" w:hAnsi="Times New Roman"/>
          <w:b/>
          <w:sz w:val="28"/>
          <w:szCs w:val="28"/>
        </w:rPr>
        <w:t xml:space="preserve"> на 20</w:t>
      </w:r>
      <w:r w:rsidR="009362D2" w:rsidRPr="00087CCF">
        <w:rPr>
          <w:rFonts w:ascii="Times New Roman" w:hAnsi="Times New Roman"/>
          <w:b/>
          <w:sz w:val="28"/>
          <w:szCs w:val="28"/>
        </w:rPr>
        <w:t>2</w:t>
      </w:r>
      <w:r w:rsidR="00684D73">
        <w:rPr>
          <w:rFonts w:ascii="Times New Roman" w:hAnsi="Times New Roman"/>
          <w:b/>
          <w:sz w:val="28"/>
          <w:szCs w:val="28"/>
        </w:rPr>
        <w:t>1</w:t>
      </w:r>
      <w:r w:rsidR="00F42355" w:rsidRPr="00087C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9147E" w:rsidRPr="00087CCF" w:rsidRDefault="0089147E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 xml:space="preserve">в соответствии с Постановлением Правительства Республики Казахстан от 30 октября 2009 года № 1729 </w:t>
      </w:r>
    </w:p>
    <w:p w:rsidR="0089147E" w:rsidRPr="00087CCF" w:rsidRDefault="0089147E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8A7397" w:rsidRPr="00087CCF" w:rsidRDefault="008A7397" w:rsidP="008A7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7905"/>
        <w:gridCol w:w="7796"/>
      </w:tblGrid>
      <w:tr w:rsidR="002505B7" w:rsidRPr="00087CCF" w:rsidTr="00073A52">
        <w:tc>
          <w:tcPr>
            <w:tcW w:w="7905" w:type="dxa"/>
          </w:tcPr>
          <w:p w:rsidR="002505B7" w:rsidRPr="00087CCF" w:rsidRDefault="002505B7" w:rsidP="00DE3B2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205CEB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Алматы</w:t>
            </w:r>
          </w:p>
          <w:p w:rsidR="002505B7" w:rsidRPr="00087CCF" w:rsidRDefault="00486AC3" w:rsidP="00DE3B2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мкр</w:t>
            </w:r>
            <w:proofErr w:type="spellEnd"/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7286C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Нур</w:t>
            </w:r>
            <w:proofErr w:type="spellEnd"/>
            <w:r w:rsidR="00F7286C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Алатау, кв. Каргалы, 1/5</w:t>
            </w:r>
            <w:r w:rsidR="002505B7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796" w:type="dxa"/>
          </w:tcPr>
          <w:p w:rsidR="002505B7" w:rsidRPr="00087CCF" w:rsidRDefault="002505B7" w:rsidP="0074058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7405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E25CD5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6C2457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405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</w:t>
            </w:r>
            <w:r w:rsidR="008C27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486AC3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405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7E5FB0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ода</w:t>
            </w:r>
          </w:p>
        </w:tc>
      </w:tr>
    </w:tbl>
    <w:p w:rsidR="00701C75" w:rsidRPr="00087CCF" w:rsidRDefault="00701C75" w:rsidP="00DE3B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7397" w:rsidRPr="00087CCF" w:rsidRDefault="00C907A7" w:rsidP="00486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CF">
        <w:rPr>
          <w:rFonts w:ascii="Times New Roman" w:hAnsi="Times New Roman"/>
          <w:sz w:val="24"/>
          <w:szCs w:val="24"/>
        </w:rPr>
        <w:t xml:space="preserve">Наименование и адрес Заказчика: </w:t>
      </w:r>
      <w:r w:rsidR="00486AC3" w:rsidRPr="00087CCF">
        <w:rPr>
          <w:rFonts w:ascii="Times New Roman" w:hAnsi="Times New Roman"/>
          <w:sz w:val="24"/>
          <w:szCs w:val="24"/>
        </w:rPr>
        <w:t>Филиал Акционерного общества "Лечебно-оздоровительный комплекс "Ок-</w:t>
      </w:r>
      <w:proofErr w:type="spellStart"/>
      <w:r w:rsidR="00486AC3" w:rsidRPr="00087CCF">
        <w:rPr>
          <w:rFonts w:ascii="Times New Roman" w:hAnsi="Times New Roman"/>
          <w:sz w:val="24"/>
          <w:szCs w:val="24"/>
        </w:rPr>
        <w:t>Жетпес</w:t>
      </w:r>
      <w:proofErr w:type="spellEnd"/>
      <w:r w:rsidR="00486AC3" w:rsidRPr="00087CCF">
        <w:rPr>
          <w:rFonts w:ascii="Times New Roman" w:hAnsi="Times New Roman"/>
          <w:sz w:val="24"/>
          <w:szCs w:val="24"/>
        </w:rPr>
        <w:t>" "Алматы"</w:t>
      </w:r>
      <w:r w:rsidRPr="00087CCF">
        <w:rPr>
          <w:rFonts w:ascii="Times New Roman" w:hAnsi="Times New Roman"/>
          <w:sz w:val="24"/>
          <w:szCs w:val="24"/>
        </w:rPr>
        <w:t xml:space="preserve">, </w:t>
      </w:r>
    </w:p>
    <w:p w:rsidR="007016B9" w:rsidRPr="00087CCF" w:rsidRDefault="00C907A7" w:rsidP="00486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CF">
        <w:rPr>
          <w:rFonts w:ascii="Times New Roman" w:hAnsi="Times New Roman"/>
          <w:sz w:val="24"/>
          <w:szCs w:val="24"/>
        </w:rPr>
        <w:t xml:space="preserve">адрес: </w:t>
      </w:r>
      <w:r w:rsidR="00486AC3" w:rsidRPr="00087CCF">
        <w:rPr>
          <w:rFonts w:ascii="Times New Roman" w:hAnsi="Times New Roman"/>
          <w:sz w:val="24"/>
          <w:szCs w:val="24"/>
        </w:rPr>
        <w:t>г. Алматы</w:t>
      </w:r>
      <w:r w:rsidR="008A7397" w:rsidRPr="00087C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6AC3" w:rsidRPr="00087CCF">
        <w:rPr>
          <w:rFonts w:ascii="Times New Roman" w:hAnsi="Times New Roman"/>
          <w:sz w:val="24"/>
          <w:szCs w:val="24"/>
        </w:rPr>
        <w:t>мкр</w:t>
      </w:r>
      <w:proofErr w:type="spellEnd"/>
      <w:r w:rsidR="00486AC3" w:rsidRPr="00087C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7286C" w:rsidRPr="00087CCF">
        <w:rPr>
          <w:rFonts w:ascii="Times New Roman" w:hAnsi="Times New Roman"/>
          <w:sz w:val="24"/>
          <w:szCs w:val="24"/>
        </w:rPr>
        <w:t>Нур</w:t>
      </w:r>
      <w:proofErr w:type="spellEnd"/>
      <w:r w:rsidR="00F7286C" w:rsidRPr="00087CCF">
        <w:rPr>
          <w:rFonts w:ascii="Times New Roman" w:hAnsi="Times New Roman"/>
          <w:sz w:val="24"/>
          <w:szCs w:val="24"/>
        </w:rPr>
        <w:t>-</w:t>
      </w:r>
      <w:r w:rsidR="00486AC3" w:rsidRPr="00087CCF">
        <w:rPr>
          <w:rFonts w:ascii="Times New Roman" w:hAnsi="Times New Roman"/>
          <w:sz w:val="24"/>
          <w:szCs w:val="24"/>
        </w:rPr>
        <w:t>Алатау, кв. Каргалы, 1/5</w:t>
      </w:r>
      <w:r w:rsidRPr="00087CCF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87"/>
        <w:tblW w:w="1541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655"/>
        <w:gridCol w:w="850"/>
        <w:gridCol w:w="850"/>
        <w:gridCol w:w="1133"/>
        <w:gridCol w:w="1559"/>
      </w:tblGrid>
      <w:tr w:rsidR="0099438A" w:rsidRPr="0099438A" w:rsidTr="0099438A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A" w:rsidRPr="0099438A" w:rsidRDefault="0099438A" w:rsidP="0099438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43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43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943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A" w:rsidRPr="0099438A" w:rsidRDefault="0099438A" w:rsidP="0099438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43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8A" w:rsidRPr="0099438A" w:rsidRDefault="0099438A" w:rsidP="0099438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43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A" w:rsidRPr="0099438A" w:rsidRDefault="0099438A" w:rsidP="0099438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43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A" w:rsidRPr="0099438A" w:rsidRDefault="0099438A" w:rsidP="0099438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43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8A" w:rsidRPr="0099438A" w:rsidRDefault="0099438A" w:rsidP="0099438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43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Цена за ед. в тенге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A" w:rsidRPr="0099438A" w:rsidRDefault="0099438A" w:rsidP="0099438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43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Выделенная сумма, включая НДС, тенге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Изотонический раствор для гематологического анализатора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Sysmex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KX-21 N объем 20л (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2*10 л)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Изотонический разбавитель ГР 39001 к гематологическому аппарату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  <w:lang w:val="en-US"/>
              </w:rPr>
              <w:t>Sysmex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38A">
              <w:rPr>
                <w:rFonts w:ascii="Times New Roman" w:hAnsi="Times New Roman"/>
                <w:sz w:val="20"/>
                <w:szCs w:val="20"/>
                <w:lang w:val="en-US"/>
              </w:rPr>
              <w:t>KX</w:t>
            </w:r>
            <w:r w:rsidRPr="0099438A">
              <w:rPr>
                <w:rFonts w:ascii="Times New Roman" w:hAnsi="Times New Roman"/>
                <w:sz w:val="20"/>
                <w:szCs w:val="20"/>
              </w:rPr>
              <w:t xml:space="preserve">-21 </w:t>
            </w:r>
            <w:r w:rsidRPr="0099438A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  <w:p w:rsidR="00365196" w:rsidRPr="0099438A" w:rsidRDefault="00365196" w:rsidP="009943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Объём канистры 2*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99438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литров</w:t>
              </w:r>
            </w:smartTag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(Из полупрозрачного материала для возможности визуального контроля уровня реагентов)</w:t>
            </w: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Концентрация активных компонентов:</w:t>
            </w:r>
          </w:p>
          <w:p w:rsidR="00365196" w:rsidRPr="0099438A" w:rsidRDefault="00365196" w:rsidP="009943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Натрий хлорид &lt;  1,0%</w:t>
            </w: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Буфер &lt;  0,6%</w:t>
            </w:r>
          </w:p>
          <w:p w:rsidR="00365196" w:rsidRPr="0099438A" w:rsidRDefault="00365196" w:rsidP="009943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Консервант &lt; 0,2%</w:t>
            </w:r>
          </w:p>
          <w:p w:rsidR="00365196" w:rsidRPr="0099438A" w:rsidRDefault="00365196" w:rsidP="009943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3.Физико-химические свойства:</w:t>
            </w:r>
          </w:p>
          <w:p w:rsidR="00365196" w:rsidRPr="0099438A" w:rsidRDefault="00365196" w:rsidP="009943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 реагента, в пределах 7,6±0,3</w:t>
            </w: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Электропроводность, в пределах 13,4±0,3 </w:t>
            </w:r>
            <w:proofErr w:type="spellStart"/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мСим</w:t>
            </w:r>
            <w:proofErr w:type="spellEnd"/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/см</w:t>
            </w: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Фон по PLT, не более 10*10</w:t>
            </w:r>
            <w:r w:rsidRPr="009943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9</w:t>
            </w: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л-1</w:t>
            </w: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Фон по RBC, не более 0,04*10</w:t>
            </w:r>
            <w:r w:rsidRPr="009943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12 </w:t>
            </w: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л-1</w:t>
            </w:r>
          </w:p>
          <w:p w:rsidR="00365196" w:rsidRPr="0099438A" w:rsidRDefault="00365196" w:rsidP="009943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Внешний вид – бесцветная прозрачная жидкость</w:t>
            </w: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Срок годности, не менее 18 месяцев</w:t>
            </w:r>
          </w:p>
          <w:p w:rsidR="00365196" w:rsidRPr="0099438A" w:rsidRDefault="00365196" w:rsidP="009943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Отметка на упаковке о дате изготовления</w:t>
            </w:r>
          </w:p>
          <w:p w:rsidR="00365196" w:rsidRPr="0099438A" w:rsidRDefault="00365196" w:rsidP="009943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Наличие регистрационного удостоверения</w:t>
            </w:r>
          </w:p>
          <w:p w:rsidR="00365196" w:rsidRPr="0099438A" w:rsidRDefault="00365196" w:rsidP="009943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8.Предварительно согласовать с заказчиком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Поставка до 31.12.2021г. по заявке заказчика  в течение 15 календарных дней после получения заявки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155 000,00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раствор 0,5л для гематологического анализатора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Sysmex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KX-21 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раствор ГР 390041 </w:t>
            </w: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гематологическому аппарату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  <w:lang w:val="en-US"/>
              </w:rPr>
              <w:t>Sysmex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38A">
              <w:rPr>
                <w:rFonts w:ascii="Times New Roman" w:hAnsi="Times New Roman"/>
                <w:sz w:val="20"/>
                <w:szCs w:val="20"/>
                <w:lang w:val="en-US"/>
              </w:rPr>
              <w:t>KX</w:t>
            </w:r>
            <w:r w:rsidRPr="0099438A">
              <w:rPr>
                <w:rFonts w:ascii="Times New Roman" w:hAnsi="Times New Roman"/>
                <w:sz w:val="20"/>
                <w:szCs w:val="20"/>
              </w:rPr>
              <w:t xml:space="preserve">-21 </w:t>
            </w:r>
            <w:r w:rsidRPr="0099438A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1. Объём флакона 500мл (Из полупрозрачного материала  для возможности визуального контроля уровня реагентов)</w:t>
            </w:r>
            <w:r w:rsidRPr="0099438A">
              <w:rPr>
                <w:rFonts w:ascii="Times New Roman" w:hAnsi="Times New Roman"/>
                <w:sz w:val="20"/>
                <w:szCs w:val="20"/>
              </w:rPr>
              <w:br/>
              <w:t>2. Концентрация активных компонентов: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Четвертичная аммониевая соль &lt;  5,0%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3. Метод измерения гемоглобина -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гемиглобинцианидный</w:t>
            </w:r>
            <w:proofErr w:type="spellEnd"/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4. Внешний вид – бесцветная прозрачная пенящаяся жидкость</w:t>
            </w:r>
            <w:r w:rsidRPr="0099438A">
              <w:rPr>
                <w:rFonts w:ascii="Times New Roman" w:hAnsi="Times New Roman"/>
                <w:sz w:val="20"/>
                <w:szCs w:val="20"/>
              </w:rPr>
              <w:br/>
              <w:t>5. Срок годности, не менее 18 месяцев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6. Отметка на упаковке о дате изготовления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7. Наличие регистрационного удостоверения</w:t>
            </w:r>
          </w:p>
          <w:p w:rsidR="00365196" w:rsidRPr="0099438A" w:rsidRDefault="00365196" w:rsidP="009943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8.Предварительно согласовать с заказчиком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Поставка до 31.12.2021г. по заявке заказчика  в течение 15 календарных дней после получения заявки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127 500,00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Очищающий раствор 0,1 л для гематологического анализатора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Sysmex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KX-21 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Очищающий раствор ГР 390031.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1.Объём флакона 100 мл (Из полупрозрачного материала для возможности визуального контроля уровня реагентов)</w:t>
            </w: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Концентрация активных компонентов: Натрий гипохлорит &lt; 5%</w:t>
            </w: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Внешний вид – Прозрачный бесцветный, или желтоватого оттенка</w:t>
            </w:r>
          </w:p>
          <w:p w:rsidR="00365196" w:rsidRPr="0099438A" w:rsidRDefault="00365196" w:rsidP="009943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Характеристика раствора – Гипохлорит натрия</w:t>
            </w:r>
          </w:p>
          <w:p w:rsidR="00365196" w:rsidRPr="0099438A" w:rsidRDefault="00365196" w:rsidP="009943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Отметка на упаковке о дате изготовления</w:t>
            </w:r>
          </w:p>
          <w:p w:rsidR="00365196" w:rsidRPr="0099438A" w:rsidRDefault="00365196" w:rsidP="009943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Наличие регистрационного удостоверения</w:t>
            </w: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7. Срок годности, не менее 12 месяцев</w:t>
            </w:r>
          </w:p>
          <w:p w:rsidR="00365196" w:rsidRPr="0099438A" w:rsidRDefault="00365196" w:rsidP="009943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8.Предварительно согласовать с заказчиком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Поставка до 31.12.2021г. по заявке заказчика  в течение 15 календарных дней после получения заявки. Срок годности на момент поставки не менее 80% от даты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60 000,00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БИОХИМИЧЕСКАЯ КОНТРОЛЬНАЯ СЫВОРОТКА УРОВЕНЬ l набор биохимических реагентов из комплекта Анализатор биохимический.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БИОХИМИЧЕСКАЯ КОНТРОЛЬНАЯ СЫВОРОТКА (HUMAN) УРОВЕНЬ l набор биохимических реагентов из комплекта Анализатор биохимический-турбидиметрический  ВА400,параметры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:А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СE, кислая фосфатаза, альбумин, щелочная фосфатаза, АЛТ, АСТ, а-амилаза, амилаза панкреатическая, β-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гидроксибутират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холинестераза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СК,креатинин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глюкоза, ГГТ, железо, ЛДГ,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лактат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,  липаза,  магний, фосфор, калий, общий белок, натрий, триглицериды, мочевина, мочевая кислота, UIBC, цинк,  фасовка  5х5мл,  t +2 +8 C.</w:t>
            </w: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Поставка до 31.12.2021г. по заявке заказчика  в течение 15 календарных дней после получения заявки. Срок годности на момент поставки не менее 80% от даты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42 500,00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42 500,00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БИОХИМИЧЕСКАЯ КОНТРОЛЬНАЯ СЫВОРОТКА УРОВЕНЬ II набор биохимических реагентов из комплекта Анализатор биохимический.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БИОХИМИЧЕСКАЯ КОНТРОЛЬНАЯ СЫВОРОТКА (HUMAN) УРОВЕНЬ l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-набор биохимических реагентов из комплекта Анализатор биохимический-турбидиметрический  ВА400,параметры: АСE, кислая фосфатаза, альбумин, щелочная фосфатаза, АЛТ, АСТ, а-амилаза, амилаза панкреатическая,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β-</w:t>
            </w:r>
            <w:proofErr w:type="spellStart"/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гидроксибутират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холинестераза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СК,креатинин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глюкоза, ГГТ, железо, ЛДГ,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лактат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,  липаза,  магний, фосфор, калий, общий белок, натрий, триглицериды, мочевина, мочевая кислота, UIBC, цинк,  фасовка  5х5мл,   t +2 +8C</w:t>
            </w: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. Поставка до 31.12.2021г. по заявке заказчика  в течение 15 календарных дней после получения заявки. Срок годности на момент поставки не менее 80% от даты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42 500,00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42 500,00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БИОХИМИЧЕСКИЙ КАЛИБРАТОР (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Human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) набор биохимических реагентов из комплекта Анализатор биохимический.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БИОХИМИЧЕСКИЙ КАЛИБРАТОР (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Human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) набор биохимических реагентов из комплекта Анализатор биохимический-турбидиметрический  ВА400,параметры: АСE, кислая фосфатаза, альбумин, щелочная фосфатаза, АЛТ, АСТ, а-амилаза, амилаза панкреатическая, </w:t>
            </w:r>
            <w:proofErr w:type="gramStart"/>
            <w:r w:rsidRPr="0099438A">
              <w:rPr>
                <w:rFonts w:ascii="Times New Roman" w:hAnsi="Times New Roman"/>
                <w:sz w:val="20"/>
                <w:szCs w:val="20"/>
              </w:rPr>
              <w:t>β-</w:t>
            </w:r>
            <w:proofErr w:type="spellStart"/>
            <w:proofErr w:type="gramEnd"/>
            <w:r w:rsidRPr="0099438A">
              <w:rPr>
                <w:rFonts w:ascii="Times New Roman" w:hAnsi="Times New Roman"/>
                <w:sz w:val="20"/>
                <w:szCs w:val="20"/>
              </w:rPr>
              <w:t>гидроксибутират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холинестераза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СК,креатинин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, глюкоза, ГГТ, железо, ЛДГ,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лактат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>,  липаза,  магний, фосфор, калий, общий белок, натрий, триглицериды, мочевина, мочевая кислота, UIBC, цинк,  фасовка, 5х5мл, t  +2 +8 С. Поставка до 31.12.2021г. по заявке заказчика  в течение 15 календарных дней после получения заявки. Срок годности на момент поставки не менее 80% от даты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42 500,00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42 500,00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БУТЫЛКА КОНЦЕНТРАТА МОЮЩЕГО Р-РА (100мл) из комплекта анализатор биохимический автоматический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Концентрированный промывочный раствор , объем 100мл, t+15 +30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БУТЫЛКА КОНЦЕНТРАТА МОЮЩЕГО Р-РА (100мл) из комплекта анализатор биохимический автоматический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23 090,00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23 090,00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Контроль 1: 1 х 1мл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Контроль 1, набор реагентов (1x1мл,) / HT-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Coag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Reagent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kit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(1x1ml,) Состав и описание изделия: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 получен из человеческой плазмы, собранной с использованием антикоагулянта цитрата натрия (0,4%). Контроли 2 и 3дают удлиненные относительно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нормальных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значения АЧТВ и ПВ. Контрольные материалы также содержат стабилизаторы и буферы, добавленные перед лиофилизацией (&lt;1,0%). ПРИНЦИП МЕТОДА.  Использование контрольных материалов позволяет обеспечивать уверенность в правильности получаемых результатов.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Нормальный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патологические уровни контроля должны использоваться при проведении каждого из видов анализа при смене реагентов, персонала, а также после анализа каждых 40 проб. Контроль 1 предназначен для оценки точности определения таких параметров, как ПВ, АЧТВ, TT** и фибриногена. Область применения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Клиническая и лабораторная диагностика.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Условия хранения: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1. Реагент хранить при температуре + 2 до + 8. НЕ ЗАМОРАЖИВАТЬ!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При открытии реагент стабилен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течений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 дней при температуре + 2 до + 8.Срок годности: 1 год. Поставка до 31.12.2021г. по заявке заказчика  в течение 15 календарных дней после получения заявки. Срок годности на момент поставки не менее 80% от даты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9 740,00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9 740,00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Контроль 2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х 1 мл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Контроль 2, набор реагентов (1x1мл) / HT-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Coag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Reagent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kit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(1x1ml) Состав и описание изделия: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 получен из человеческой плазмы, собранной с использованием антикоагулянта цитрата натрия (0,4%). Контроли 2 и 3дают удлиненные относительно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нормальных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значения АЧТВ и ПВ. Контрольные материалы также содержат стабилизаторы и буферы, добавленные перед лиофилизацией (&lt;1,0%) ПРИНЦИП МЕТОДА. Использование контрольных материалов позволяет обеспечивать уверенность в правильности получаемых результатов.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Нормальный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патологические уровни контроля должны использоваться при проведении каждого из видов анализа при смене реагентов, персонала, а также после анализа каждых 40 проб. Контроль уровня 1 и один из патологических уровней (уровень 2 или 3) вместе составляют часть программы обеспечения полной уверенности в получаемых результатах. Контроль 2 и Контроль 3 предназначены для оценки точности определения таких параметров, как ПВ и АЧТВ.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Область применения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Клиническая и лабораторная диагностика.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Условия хранения: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1. Реагент хранить при температуре + 2 до + 8. НЕ ЗАМОРАЖИВАТЬ!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При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открыти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стабилен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течений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 дней при температуре + 2 до + 8.Срок годности: 1 год. Поставка до 31.12.2021г. по заявке заказчика  в течение 15 календарных дней после получения заявки. Срок годности на момент поставки не менее 80% от даты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9 740,00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9 740,00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Плазма-калибратор 1 х 1 мл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Плазма-калибратор, набор реагентов (1x1ml) / HT-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Coag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Calibration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Plasma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kit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(1x1ml). Состав и описание изделия: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Калибровочная плазма Фасовка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×1 мл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 получен из человеческой плазмы, содержащей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антикоагулянти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буферы, добавленные перед лиофилизацией (&lt;1,0%). ПРИНЦИП МЕТОДА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Калибровочная плазма приготовлена из цитратных плазм здоровых доноров при помощи специальных процессов, сохраняющих нормальные показатели пула плазм. Калибровочная плазма разработана для калибровки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коагулометрических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систем. Плазма предназначена для калибровки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коагулометров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выполнении тестов по определению ПВ и фибриногена. Калибровочная плазма также используется в качестве нормального контроля при определении активированного частичного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 (АЧТВ) и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тромбинового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 (ТВ). Область применения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Клиническая и лабораторная диагностика.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Условия хранения: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1. Реагент хранить при температуре + 2 до + 8.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При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открыти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стабилен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течений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часов при температуре + 2 до + 8.Срок годности: 1 год. Поставка до 31.12.2021г. по заявке заказчика  в течение 15 календарных дней после получения заявки. Срок годности на момент поставки не менее 80% от даты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9 740,00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9 740,00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Активированного</w:t>
            </w: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Частичного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 АЧТВ 5х2мл +</w:t>
            </w: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Кальция хлорид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CaCl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5х2мл; (200 тестов)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Активированного Частичного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5x2мл) (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эллаговая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кислота) / HT-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Coag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APTT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Reagent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kit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5x2ml) Кальция хлорид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CaCl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5х2мл; Состав и описание изделия: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АЧТВ реагент 5×2.0мл.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АЧТВ реагент: 0,1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эллаговой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кислоты, буферы, соли и стабилизаторы.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Кальция хлорид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CaCl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5х2мл.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Кальция хлорид (0,025М). Кальция хлорид (0.025 M): 0,025М  раствор хлорида кальция, 0,1% азида натрия и стабилизаторы. ПРИНЦИП МЕТОДА.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 АЧТВ относится к традиционным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скрининговым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коагулологическим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тестам и используется для обнаружения патологий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внутреннегои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путей свертывания крови, а также острых функциональных нарушениях факторов II, V, X и фибриногена. Определение АЧТВ может проводиться с целью мониторинга эффективности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гепаринотерапии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, поскольку удлинение АЧТВ пропорционально уровню гепарина в пробе.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 АЧТВ проводится с помощью добавления к исследуемой цитратной плазме реагента, содержащего активатор внутреннего каскада свертывания и фосфолипиды.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Реагентнаясмесь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инкубируется в течение 3 минут при 37° C, после чего в нее добавляют ионы кальция, запускающие процесс свертывания, и определяют время образования фибринового сгустка. Область применения: Клиническая и лабораторная диагностика.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Условия хранения: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1. Реагент хранить при температуре + 2 до + 8. НЕ ЗАМОРАЖИВАТЬ!!!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При открытии реагент стабилен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течений 30 дней при температуре + 2 до + 8. Срок годности: 1год. Поставка до 31.12.2021г. по заявке заказчика  в течение 15 календарных дней после получения заявки. Срок годности на момент поставки не менее 80% от даты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10 450,00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20 900,00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</w:t>
            </w: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 х 2 мл (100 тестов)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Времения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(5x2мл,)/ HT-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Coag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PT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Reagent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kit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(5x2ml). Состав и описание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изделия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:Н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абор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5×2 мл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ПВ реагент: рекомбинантный человеческий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тромбопластин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(&lt;1мкг/мл), фосфолипиды, кальция хлорид, буферы, соли и стабилизаторы. ПРИНЦИП МЕТОДА. Определение ПВ проводится в качестве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скринингового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теста, выявляющего нарушения внешнего пути свертывания крови, а также в качестве количественного теста при определении активностей факторов II, V,VII и X. Метод используется для мониторинга эффективности и адекватности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антикоагулянтной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терапии. С помощью определения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 также проводится оценка функционального состояния печени при различных заболеваниях. При добавлении рекомбинантного человеческого тканевого фактора и ионов кальция в исследуемую цитратную плазму время образования фибринового сгустка зависит только от активности факторов внешнего и общего путей коагуляции: I, II, V, VII, X. После добавления указанных реактивов в плазму измеряют время от момента добавления реактивов до момента образования фибринового сгустка.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Область применения Клиническая и лабораторная диагностика.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Условия хранения: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1. Реагент хранить при температуре + 2 до + 8. НЕ ЗАМОРАЖИВАТЬ!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При открытии реагент стабилен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течений 30 дней при температуре + 2 до + 8.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Срок годности: 1 год. Поставка до 31.12.2021г. по заявке заказчика  в течение 15 календарных дней после получения заявки. Срок годности на момент поставки не менее 80% от даты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11 825,00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23 650,00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Тромбинового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 5 х</w:t>
            </w: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мл (100 тестов)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Тромбинового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времени(, 5x2мл, 5)/ HT-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Coag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Thrombin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Time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Reagent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kit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(, 5x2ml.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 и описание изделия: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Тромбин реагент: 5×2ml,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Тромбин реагент содержит жидкий стандартизованный бычий тромбин, бычий альбумин, буферы и стабилизаторы.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ПРИНЦИП МЕТОДА.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тромбинового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 (ТВ) обычно используется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- мониторинга терапии высокомолекулярным гепарином;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мониторинга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фибринолитической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терапии;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скрининговых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обследований с целью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обнаружения нарушений процессов формирования фибрина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при подозрениях на острый дефицит фибриногена;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дифференциальной диагностики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между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гепарин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индуцированным удлинением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тромбинового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 и патологиями в процессах формирования фибринового сгустка. Показано, что удлинение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тромбинового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 наблюдается не только при наличии патологий процесса полимеризации фибрина, но и при наличии гепарина в пробе. Тромбин превращает фибриноген, содержащийся в плазме, в фибрин, из которого формируется сгусток. Измеряется время образования фибринового сгустка.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Область применения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Клиническая и лабораторная диагностика.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Условия хранения: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1. Реагент хранить при температуре + 2 до + 8. НЕ ЗАМОРАЖИВАТЬ!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При открытий реагент стабилен </w:t>
            </w:r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течений 30 дней при температуре + 2 до + 8.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Срок годности: 1 год. Поставка до 31.12.2021г. по заявке заказчика  в течение 15 календарных дней после получения заявки. Срок годности на момент поставки не менее 80% от даты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17 525,00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35 050,00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Наконечник для дозаторов 200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упаковке 1000 </w:t>
            </w:r>
            <w:proofErr w:type="spellStart"/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Наконечники универсальные для дозаторов типа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  <w:lang w:val="en-US"/>
              </w:rPr>
              <w:t>Biohit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. объемом 5-200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с фаской, 1000 </w:t>
            </w:r>
            <w:proofErr w:type="spellStart"/>
            <w:proofErr w:type="gramStart"/>
            <w:r w:rsidRPr="0099438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9438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>. Предварительно согласовать с заказчиком. Поставка до 31.12.2021г. по заявке заказчика  в течение 15 календарных дней после получения заявки.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3 800,00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11 400,00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Наконечник для дозаторов 1000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(в упаковке 1000 </w:t>
            </w:r>
            <w:proofErr w:type="spellStart"/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Наконечники универсальные для дозаторов типа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Biohit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. объемом 100-1000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с фаской, 1000 </w:t>
            </w:r>
            <w:proofErr w:type="spellStart"/>
            <w:proofErr w:type="gramStart"/>
            <w:r w:rsidRPr="0099438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9438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>. Предварительно согласовать с заказчиком. Поставка до 31.12.2021г. по заявке заказчика  в течение 15 календарных дней после получения заявки.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4 200,00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4 200,00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Шарики для фиксации времени образования сгустка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Шарики к TS-4000, TS-1000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Материал изготовления</w:t>
            </w: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Металл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Вес шарика</w:t>
            </w: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55 мг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Размер шарика (диаметр) 0,24 см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1600</w:t>
            </w:r>
          </w:p>
          <w:p w:rsidR="00365196" w:rsidRPr="0099438A" w:rsidRDefault="00365196" w:rsidP="009943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Срок работы</w:t>
            </w: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5 лет. Поставка до 31.12.2021г. по заявке заказчика  в течение 15 календарных дней после получения заявки.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40 000,00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кровь (высокий уровень) для проверки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прецизионности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точности гематологических анализаторов по 16 диагностическим и 6 сервисным параметрам.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кровь (высокий уровень) 4,5 мл </w:t>
            </w:r>
            <w:r w:rsidRPr="0099438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Boule</w:t>
            </w: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проверки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прецизионности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точности гематологических анализаторов по 16 диагностическим и 6 сервисным параметрам.</w:t>
            </w: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Отметка на упаковке о дате изготовления. Предварительно согласовать с заказчиком</w:t>
            </w:r>
          </w:p>
          <w:p w:rsidR="00365196" w:rsidRPr="0099438A" w:rsidRDefault="00365196" w:rsidP="009943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Поставка до 31.12.2021г. по заявке заказчика  в течение 15 календарных дней после получения заявки.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15 848,00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63 392,00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кровь (низкий уровень) для проверки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прецизионности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точности гематологических анализаторов по 16 диагностическим и 6 сервисным параметрам.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Контрольная кровь (низкий уровень) 4,5 мл </w:t>
            </w:r>
            <w:proofErr w:type="spellStart"/>
            <w:r w:rsidRPr="0099438A">
              <w:rPr>
                <w:rFonts w:ascii="Times New Roman" w:hAnsi="Times New Roman"/>
                <w:b/>
                <w:sz w:val="20"/>
                <w:szCs w:val="20"/>
              </w:rPr>
              <w:t>Boule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для проверки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прецизионности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и точности гематологических анализаторов по 16 диагностическим и 6 сервисным параметрам. Отметка на упаковке о дате изготовления. Предварительно согласовать с заказчиком</w:t>
            </w:r>
          </w:p>
          <w:p w:rsidR="00365196" w:rsidRPr="0099438A" w:rsidRDefault="00365196" w:rsidP="00994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Поставка до 31.12.2021г. по заявке заказчика  в течение 15 календарных дней после получения заявки.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15 847,75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63 391,00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кровь (норма) для проверки </w:t>
            </w:r>
            <w:proofErr w:type="spellStart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прецизионности</w:t>
            </w:r>
            <w:proofErr w:type="spellEnd"/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точности гематологических анализаторов по 16 диагностическим и 6 сервисным параметрам.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Контрольная кровь (норма) 4,5 мл </w:t>
            </w:r>
            <w:proofErr w:type="spellStart"/>
            <w:r w:rsidRPr="0099438A">
              <w:rPr>
                <w:rFonts w:ascii="Times New Roman" w:hAnsi="Times New Roman"/>
                <w:b/>
                <w:sz w:val="20"/>
                <w:szCs w:val="20"/>
              </w:rPr>
              <w:t>Boule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для проверки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прецизионности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и точности гематологических анализаторов по 16 диагностическим и 6 сервисным параметрам. Отметка на упаковке о дате изготовления. Предварительно согласовать с заказчиком</w:t>
            </w:r>
          </w:p>
          <w:p w:rsidR="00365196" w:rsidRPr="0099438A" w:rsidRDefault="00365196" w:rsidP="00994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Поставка до 31.12.2021г. по заявке заказчика  в течение 15 календарных дней после получения заявки.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15 847,75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63 391,00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Коробка безопасной утилизации (</w:t>
            </w:r>
            <w:r w:rsidRPr="0099438A">
              <w:rPr>
                <w:rFonts w:ascii="Times New Roman" w:hAnsi="Times New Roman"/>
                <w:sz w:val="20"/>
                <w:szCs w:val="20"/>
                <w:lang w:val="kk-KZ"/>
              </w:rPr>
              <w:t>КБУ) 10 литров (+ 2 желтых пакета)</w:t>
            </w:r>
          </w:p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Контейнеры  одноразового применения для безопасной утилизации медицинских отходов должны быть изготовлены из ламинированного 4-х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слойного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картона и  отвечать всем требованиям  к качеству ВОЗ:</w:t>
            </w:r>
          </w:p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1.Общая прочность;</w:t>
            </w:r>
          </w:p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2.Устойчивость к прокалыванию иглами;</w:t>
            </w:r>
          </w:p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3.Устойчивость к поглощению воды;</w:t>
            </w:r>
          </w:p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4.Сжигаемость;</w:t>
            </w:r>
          </w:p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5.Удобная логистика.</w:t>
            </w:r>
          </w:p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Эксплуатационные показатели:</w:t>
            </w:r>
          </w:p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1.Контейнер должен удерживать воду, сохранять форму и качество при высыхании;</w:t>
            </w:r>
          </w:p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2.Свойства контейнера не должны меняться в течение всего срока эксплуатации. Качество должно сохраняться при хранении в  вентилируемом помещении при комнатной температуре (20-200С) с относительной влажностью 30%-70%.</w:t>
            </w:r>
          </w:p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Обьем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КБУ - 10 литров, в комплекте с двумя желтыми пакетами.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249,00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149 400,00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Лейкопластырь 2,5 см* 5 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Гипоаллергенный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99438A">
              <w:rPr>
                <w:rFonts w:ascii="Times New Roman" w:hAnsi="Times New Roman"/>
                <w:sz w:val="20"/>
                <w:szCs w:val="20"/>
              </w:rPr>
              <w:t>медицинский</w:t>
            </w:r>
            <w:proofErr w:type="gramEnd"/>
            <w:r w:rsidRPr="0099438A">
              <w:rPr>
                <w:rFonts w:ascii="Times New Roman" w:hAnsi="Times New Roman"/>
                <w:sz w:val="20"/>
                <w:szCs w:val="20"/>
              </w:rPr>
              <w:t>, на бумажной основе, предназначен для фиксации. Длина 5 метров ширина 2,5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60 000,00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Салфетка спиртовая 0,65*60мм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Применяется для обработки кожи перед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иньекцией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>, пропитано 70% изопропиловым спиртом.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30 000,0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600 000,00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Система одноразовая</w:t>
            </w:r>
          </w:p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D6597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Для вливания 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инфузионных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растворов, </w:t>
            </w:r>
            <w:proofErr w:type="gramStart"/>
            <w:r w:rsidRPr="0099438A">
              <w:rPr>
                <w:rFonts w:ascii="Times New Roman" w:hAnsi="Times New Roman"/>
                <w:sz w:val="20"/>
                <w:szCs w:val="20"/>
              </w:rPr>
              <w:t>одноразовая</w:t>
            </w:r>
            <w:proofErr w:type="gram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апирогенно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>, нетоксично. В упаковке не менее 50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D65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D65979" w:rsidP="00D659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365196"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D65979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365196"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00 000,00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Шприц одноразовый 3-х компонентный стерильный.</w:t>
            </w:r>
          </w:p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D6597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Стерильно, нетоксично,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апирогенно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>.</w:t>
            </w:r>
            <w:r w:rsidR="00D65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38A">
              <w:rPr>
                <w:rFonts w:ascii="Times New Roman" w:hAnsi="Times New Roman"/>
                <w:sz w:val="20"/>
                <w:szCs w:val="20"/>
              </w:rPr>
              <w:t>Прочный прозрачный корпус из высококачественного пластика с крупной и ясно видимой маркировкой шкалы для точной дозировки. Острая игла с трехгранной заточкой</w:t>
            </w:r>
            <w:proofErr w:type="gramStart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9438A">
              <w:rPr>
                <w:rFonts w:ascii="Times New Roman" w:hAnsi="Times New Roman"/>
                <w:sz w:val="20"/>
                <w:szCs w:val="20"/>
              </w:rPr>
              <w:t>покрытая тонким слоем силикона ,21</w:t>
            </w:r>
            <w:r w:rsidRPr="0099438A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9943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659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Обьем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gramStart"/>
            <w:r w:rsidRPr="009943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9438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упаковке не менее 50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5 000,0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200 000,00  </w:t>
            </w:r>
          </w:p>
        </w:tc>
      </w:tr>
      <w:tr w:rsidR="00365196" w:rsidRPr="0099438A" w:rsidTr="0099438A">
        <w:trPr>
          <w:cantSplit/>
          <w:trHeight w:val="5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9438A">
              <w:rPr>
                <w:rFonts w:ascii="Times New Roman" w:hAnsi="Times New Roman"/>
                <w:sz w:val="20"/>
                <w:szCs w:val="20"/>
              </w:rPr>
              <w:t>Тонометр для измерения АД (механические)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В комплекте стетоскоп (фонендоскоп), манжета, манометр, клапан, груша для нагнетания воздуха и давления. С наличием инструкции и поверки на точность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50 000,00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D65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  <w:lang w:val="kk-KZ"/>
              </w:rPr>
              <w:t>Гепарин натрия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D6597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Мазь для наружного применения. В составе мази: гепарин натрия 100МЕ,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бензокаин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40мг,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бензилникотинат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800мкг. В тубе не менее 25 грамм.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650,00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6 500,00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Грудной сбор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Состав: корень солодки, корень девясила, трава чабреца, лист шалфея, трава зверобоя.  20  </w:t>
            </w:r>
            <w:proofErr w:type="gramStart"/>
            <w:r w:rsidRPr="0099438A">
              <w:rPr>
                <w:rFonts w:ascii="Times New Roman" w:hAnsi="Times New Roman"/>
                <w:sz w:val="20"/>
                <w:szCs w:val="20"/>
              </w:rPr>
              <w:t>фильтр-пакетов</w:t>
            </w:r>
            <w:proofErr w:type="gram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в пачке по 1,5 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60 000,00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Диоксометилтетра</w:t>
            </w:r>
            <w:proofErr w:type="spellEnd"/>
          </w:p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Гидропиримидин</w:t>
            </w:r>
            <w:proofErr w:type="spellEnd"/>
          </w:p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метилурацил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Мазь для наружного применения.</w:t>
            </w:r>
          </w:p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В 1 гр. содержится: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хлорамфеникол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7,5 мг,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метилурацил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14 000,00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Магния сульфат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Бесцветные призматические кристаллы, растворимы в воде. Водные растворы имеют горько-соленый вкус. По 25 грамм.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15 600,00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Нафазолин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Капли в нос 0,1% 10 мл.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38A">
              <w:rPr>
                <w:rFonts w:ascii="Times New Roman" w:hAnsi="Times New Roman"/>
                <w:sz w:val="20"/>
                <w:szCs w:val="20"/>
              </w:rPr>
              <w:t>Во флаконе с капельницей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2 500,00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Нимесулид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Порошок для приготовления суспензии для приема внутрь. Содержит  100 мг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нимесулида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пакетик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9 600,00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Натрия хлорид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Прозрачный бесцветный раствор. Во флаконе 0,9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натрия хлорид 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обьемом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100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3 003,0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420 420,00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Дексапантенол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Аэрозоль для наружного применения, содержит в 100 г 4,63 г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дексапантенола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860,00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1 720,00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Раствор бриллиантовой зелени 1% 20 мл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Спиртовый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раствор, зеленого цвета. Во флаконе с плотно навинчивающей крышкой</w:t>
            </w:r>
          </w:p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Троксерутин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Гель для наружного применения, 1 г геля содержит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троксерутин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20 мг,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2 650,00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Раствор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азопирама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1% 100 мл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спиртовый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раствор содержит 10% амидопирина, 0,10-0,15% солянокислого анилина.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Обьем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до 100мл  95% этиловым спиртом.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6 700,00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80 400,00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Термоиндикаторы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132 № 1000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Индикаторы бумажные для паровой стерилизации, многопараметрические  химические одноразовые, для режима 132 градуса</w:t>
            </w:r>
            <w:proofErr w:type="gramStart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9438A">
              <w:rPr>
                <w:rFonts w:ascii="Times New Roman" w:hAnsi="Times New Roman"/>
                <w:sz w:val="20"/>
                <w:szCs w:val="20"/>
              </w:rPr>
              <w:t>в упаковке не менее 1000 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16 500,00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Термоиндикаторы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120 № 1000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Индикаторы бумажные для паровой стерилизации, многопараметрические, химические одноразовые, для режима 120 градуса, в упаковке не менее 1000 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16 500,00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Рулон плоский 100 мм*200м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Материал упаковочный в рулонах  плоский для паровой стерилизации, нанесено по 3 химических индикатора, позволяющую отличить упаковку, подвергнувшуюся стерилизации от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непростерилизованной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38A">
              <w:rPr>
                <w:rFonts w:ascii="Times New Roman" w:hAnsi="Times New Roman"/>
                <w:sz w:val="20"/>
                <w:szCs w:val="20"/>
              </w:rPr>
              <w:t>Ширина 10 см длина 200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264 000,00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Рулон плоский 400мм*80мм*100м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Материал упаковочный в рулонах плоский для паровой 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этилноксидной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пароформальдегидной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и радиационной стерилизации, нанесено по 3 химических индикатора, позволяющий отличить стерилизованную упаковку </w:t>
            </w:r>
            <w:proofErr w:type="gramStart"/>
            <w:r w:rsidRPr="0099438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нестерилизованной.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91 000,00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364 000,00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Рулон со складкой 75мм*25мм*100м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Рулон со складкой (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бумага+пленка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). На каждый рулон нанесено по 3 химических индикатора, позволяющие отличить </w:t>
            </w:r>
            <w:proofErr w:type="gramStart"/>
            <w:r w:rsidRPr="0099438A">
              <w:rPr>
                <w:rFonts w:ascii="Times New Roman" w:hAnsi="Times New Roman"/>
                <w:sz w:val="20"/>
                <w:szCs w:val="20"/>
              </w:rPr>
              <w:t>упаковку</w:t>
            </w:r>
            <w:proofErr w:type="gram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подвергшую стерилизации от </w:t>
            </w:r>
            <w:proofErr w:type="spellStart"/>
            <w:r w:rsidRPr="0099438A">
              <w:rPr>
                <w:rFonts w:ascii="Times New Roman" w:hAnsi="Times New Roman"/>
                <w:sz w:val="20"/>
                <w:szCs w:val="20"/>
              </w:rPr>
              <w:t>непростерилизованной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310 000,00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Рулон плоский 300мм*200 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Плоский рулон для паровой стерилизации. На каждый рулон нанесено по 3 </w:t>
            </w:r>
            <w:proofErr w:type="gramStart"/>
            <w:r w:rsidRPr="0099438A">
              <w:rPr>
                <w:rFonts w:ascii="Times New Roman" w:hAnsi="Times New Roman"/>
                <w:sz w:val="20"/>
                <w:szCs w:val="20"/>
              </w:rPr>
              <w:t>химических</w:t>
            </w:r>
            <w:proofErr w:type="gramEnd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 индикатора, позволяющие отличить упаковку прошедшую стерилизацию от не прошедшей стерилизацию.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79 000,00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395 000,00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Рулон плоский 50 мм*200 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Рулон плоский для паровой стерилизации. На каждом рулоне нанесены химические индикаторы, позволяющие определить упаковку по стерильности.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90 000,00  </w:t>
            </w:r>
          </w:p>
        </w:tc>
      </w:tr>
      <w:tr w:rsidR="00365196" w:rsidRPr="0099438A" w:rsidTr="0099438A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Рулон со складкой 150мм*50мм*100м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 xml:space="preserve">Рулон со складкой </w:t>
            </w:r>
            <w:proofErr w:type="gramStart"/>
            <w:r w:rsidRPr="0099438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99438A">
              <w:rPr>
                <w:rFonts w:ascii="Times New Roman" w:hAnsi="Times New Roman"/>
                <w:sz w:val="20"/>
                <w:szCs w:val="20"/>
              </w:rPr>
              <w:t>бумага+пленка</w:t>
            </w:r>
            <w:proofErr w:type="spellEnd"/>
            <w:r w:rsidRPr="0099438A">
              <w:rPr>
                <w:rFonts w:ascii="Times New Roman" w:hAnsi="Times New Roman"/>
                <w:sz w:val="20"/>
                <w:szCs w:val="20"/>
              </w:rPr>
              <w:t>) На каждой упаковке нанесено по 3 химических индикатора позволяющих определить стерильную упаковку с материалом от не стерильной.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38A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49 000,00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392 000,00  </w:t>
            </w:r>
          </w:p>
        </w:tc>
      </w:tr>
      <w:tr w:rsidR="00365196" w:rsidRPr="0099438A" w:rsidTr="0099438A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38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99438A" w:rsidRDefault="00365196" w:rsidP="009943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196" w:rsidRPr="00365196" w:rsidRDefault="00365196" w:rsidP="00365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96" w:rsidRPr="00365196" w:rsidRDefault="00365196" w:rsidP="00D6597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D659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  <w:r w:rsidRPr="00365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69 074,00  </w:t>
            </w:r>
          </w:p>
        </w:tc>
      </w:tr>
    </w:tbl>
    <w:p w:rsidR="00C26C2B" w:rsidRPr="00D65979" w:rsidRDefault="00C26C2B" w:rsidP="00486AC3">
      <w:pPr>
        <w:spacing w:after="0"/>
        <w:jc w:val="both"/>
        <w:rPr>
          <w:rFonts w:ascii="Times New Roman" w:hAnsi="Times New Roman"/>
          <w:szCs w:val="24"/>
        </w:rPr>
      </w:pPr>
      <w:r w:rsidRPr="00D65979">
        <w:rPr>
          <w:rFonts w:ascii="Times New Roman" w:hAnsi="Times New Roman"/>
          <w:szCs w:val="24"/>
        </w:rPr>
        <w:t xml:space="preserve">Место поставки товаров: </w:t>
      </w:r>
      <w:r w:rsidR="00486AC3" w:rsidRPr="00D65979">
        <w:rPr>
          <w:rFonts w:ascii="Times New Roman" w:hAnsi="Times New Roman"/>
          <w:szCs w:val="24"/>
        </w:rPr>
        <w:t>Филиал Акционерного общества "Лечебно-оздоровительный комплекс "Ок-</w:t>
      </w:r>
      <w:proofErr w:type="spellStart"/>
      <w:r w:rsidR="00486AC3" w:rsidRPr="00D65979">
        <w:rPr>
          <w:rFonts w:ascii="Times New Roman" w:hAnsi="Times New Roman"/>
          <w:szCs w:val="24"/>
        </w:rPr>
        <w:t>Жетпес</w:t>
      </w:r>
      <w:proofErr w:type="spellEnd"/>
      <w:r w:rsidR="00486AC3" w:rsidRPr="00D65979">
        <w:rPr>
          <w:rFonts w:ascii="Times New Roman" w:hAnsi="Times New Roman"/>
          <w:szCs w:val="24"/>
        </w:rPr>
        <w:t xml:space="preserve">" "Алматы", адрес: г. Алматы, </w:t>
      </w:r>
      <w:proofErr w:type="spellStart"/>
      <w:r w:rsidR="00486AC3" w:rsidRPr="00D65979">
        <w:rPr>
          <w:rFonts w:ascii="Times New Roman" w:hAnsi="Times New Roman"/>
          <w:szCs w:val="24"/>
        </w:rPr>
        <w:t>мкр</w:t>
      </w:r>
      <w:proofErr w:type="spellEnd"/>
      <w:r w:rsidR="00486AC3" w:rsidRPr="00D65979">
        <w:rPr>
          <w:rFonts w:ascii="Times New Roman" w:hAnsi="Times New Roman"/>
          <w:szCs w:val="24"/>
        </w:rPr>
        <w:t>. Алатау, кв. Каргалы, 1/5, склад провизора</w:t>
      </w:r>
      <w:r w:rsidR="0074058A" w:rsidRPr="00D65979">
        <w:rPr>
          <w:rFonts w:ascii="Times New Roman" w:hAnsi="Times New Roman"/>
          <w:szCs w:val="24"/>
        </w:rPr>
        <w:t xml:space="preserve"> в течени</w:t>
      </w:r>
      <w:proofErr w:type="gramStart"/>
      <w:r w:rsidR="0074058A" w:rsidRPr="00D65979">
        <w:rPr>
          <w:rFonts w:ascii="Times New Roman" w:hAnsi="Times New Roman"/>
          <w:szCs w:val="24"/>
        </w:rPr>
        <w:t>и</w:t>
      </w:r>
      <w:proofErr w:type="gramEnd"/>
      <w:r w:rsidR="0074058A" w:rsidRPr="00D65979">
        <w:rPr>
          <w:rFonts w:ascii="Times New Roman" w:hAnsi="Times New Roman"/>
          <w:szCs w:val="24"/>
        </w:rPr>
        <w:t xml:space="preserve"> года по предварительной заявке </w:t>
      </w:r>
      <w:proofErr w:type="spellStart"/>
      <w:r w:rsidR="0074058A" w:rsidRPr="00D65979">
        <w:rPr>
          <w:rFonts w:ascii="Times New Roman" w:hAnsi="Times New Roman"/>
          <w:szCs w:val="24"/>
        </w:rPr>
        <w:t>Заказяика</w:t>
      </w:r>
      <w:proofErr w:type="spellEnd"/>
      <w:r w:rsidRPr="00D65979">
        <w:rPr>
          <w:rFonts w:ascii="Times New Roman" w:hAnsi="Times New Roman"/>
          <w:szCs w:val="24"/>
        </w:rPr>
        <w:t>.</w:t>
      </w:r>
    </w:p>
    <w:p w:rsidR="002F789D" w:rsidRPr="00D65979" w:rsidRDefault="002F789D" w:rsidP="00CE0DA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Cs w:val="24"/>
        </w:rPr>
      </w:pPr>
      <w:r w:rsidRPr="00D65979">
        <w:rPr>
          <w:rFonts w:ascii="Times New Roman" w:hAnsi="Times New Roman"/>
          <w:szCs w:val="24"/>
        </w:rPr>
        <w:t xml:space="preserve">Место и окончательный срок подачи ценовых предложений: </w:t>
      </w:r>
      <w:r w:rsidR="00486AC3" w:rsidRPr="00D65979">
        <w:rPr>
          <w:rFonts w:ascii="Times New Roman" w:hAnsi="Times New Roman"/>
          <w:szCs w:val="24"/>
        </w:rPr>
        <w:t xml:space="preserve">г. Алматы, </w:t>
      </w:r>
      <w:proofErr w:type="spellStart"/>
      <w:r w:rsidR="00486AC3" w:rsidRPr="00D65979">
        <w:rPr>
          <w:rFonts w:ascii="Times New Roman" w:hAnsi="Times New Roman"/>
          <w:szCs w:val="24"/>
        </w:rPr>
        <w:t>мкр</w:t>
      </w:r>
      <w:proofErr w:type="spellEnd"/>
      <w:r w:rsidR="00486AC3" w:rsidRPr="00D65979">
        <w:rPr>
          <w:rFonts w:ascii="Times New Roman" w:hAnsi="Times New Roman"/>
          <w:szCs w:val="24"/>
        </w:rPr>
        <w:t>. Алатау, кв. Каргалы, 1/5</w:t>
      </w:r>
      <w:r w:rsidR="00EE6CEA" w:rsidRPr="00D65979">
        <w:rPr>
          <w:rFonts w:ascii="Times New Roman" w:hAnsi="Times New Roman"/>
          <w:szCs w:val="24"/>
        </w:rPr>
        <w:t xml:space="preserve">, до </w:t>
      </w:r>
      <w:r w:rsidR="0074058A" w:rsidRPr="00D65979">
        <w:rPr>
          <w:rFonts w:ascii="Times New Roman" w:hAnsi="Times New Roman"/>
          <w:szCs w:val="24"/>
        </w:rPr>
        <w:t>20</w:t>
      </w:r>
      <w:r w:rsidR="00EE6CEA" w:rsidRPr="00D65979">
        <w:rPr>
          <w:rFonts w:ascii="Times New Roman" w:hAnsi="Times New Roman"/>
          <w:szCs w:val="24"/>
        </w:rPr>
        <w:t>.</w:t>
      </w:r>
      <w:r w:rsidR="0074058A" w:rsidRPr="00D65979">
        <w:rPr>
          <w:rFonts w:ascii="Times New Roman" w:hAnsi="Times New Roman"/>
          <w:szCs w:val="24"/>
        </w:rPr>
        <w:t>01</w:t>
      </w:r>
      <w:r w:rsidR="007B4202" w:rsidRPr="00D65979">
        <w:rPr>
          <w:rFonts w:ascii="Times New Roman" w:hAnsi="Times New Roman"/>
          <w:szCs w:val="24"/>
        </w:rPr>
        <w:t>.20</w:t>
      </w:r>
      <w:r w:rsidR="00614D03" w:rsidRPr="00D65979">
        <w:rPr>
          <w:rFonts w:ascii="Times New Roman" w:hAnsi="Times New Roman"/>
          <w:szCs w:val="24"/>
        </w:rPr>
        <w:t>2</w:t>
      </w:r>
      <w:r w:rsidR="0074058A" w:rsidRPr="00D65979">
        <w:rPr>
          <w:rFonts w:ascii="Times New Roman" w:hAnsi="Times New Roman"/>
          <w:szCs w:val="24"/>
        </w:rPr>
        <w:t>1</w:t>
      </w:r>
      <w:r w:rsidR="00233E55" w:rsidRPr="00D65979">
        <w:rPr>
          <w:rFonts w:ascii="Times New Roman" w:hAnsi="Times New Roman"/>
          <w:szCs w:val="24"/>
        </w:rPr>
        <w:t xml:space="preserve"> года время: </w:t>
      </w:r>
      <w:r w:rsidR="00742925" w:rsidRPr="00D65979">
        <w:rPr>
          <w:rFonts w:ascii="Times New Roman" w:hAnsi="Times New Roman"/>
          <w:szCs w:val="24"/>
        </w:rPr>
        <w:t xml:space="preserve">до </w:t>
      </w:r>
      <w:r w:rsidR="00486AC3" w:rsidRPr="00D65979">
        <w:rPr>
          <w:rFonts w:ascii="Times New Roman" w:hAnsi="Times New Roman"/>
          <w:szCs w:val="24"/>
        </w:rPr>
        <w:t>1</w:t>
      </w:r>
      <w:r w:rsidR="00AA3808" w:rsidRPr="00D65979">
        <w:rPr>
          <w:rFonts w:ascii="Times New Roman" w:hAnsi="Times New Roman"/>
          <w:szCs w:val="24"/>
        </w:rPr>
        <w:t>0</w:t>
      </w:r>
      <w:r w:rsidR="00EE6CEA" w:rsidRPr="00D65979">
        <w:rPr>
          <w:rFonts w:ascii="Times New Roman" w:hAnsi="Times New Roman"/>
          <w:szCs w:val="24"/>
        </w:rPr>
        <w:t xml:space="preserve"> часов 00 минут, в</w:t>
      </w:r>
      <w:r w:rsidR="00320AF9" w:rsidRPr="00D65979">
        <w:rPr>
          <w:rFonts w:ascii="Times New Roman" w:hAnsi="Times New Roman"/>
          <w:szCs w:val="24"/>
        </w:rPr>
        <w:t xml:space="preserve"> </w:t>
      </w:r>
      <w:r w:rsidR="00486AC3" w:rsidRPr="00D65979">
        <w:rPr>
          <w:rFonts w:ascii="Times New Roman" w:hAnsi="Times New Roman"/>
          <w:szCs w:val="24"/>
        </w:rPr>
        <w:t>сектор</w:t>
      </w:r>
      <w:r w:rsidR="00320AF9" w:rsidRPr="00D65979">
        <w:rPr>
          <w:rFonts w:ascii="Times New Roman" w:hAnsi="Times New Roman"/>
          <w:szCs w:val="24"/>
        </w:rPr>
        <w:t xml:space="preserve"> государственных закупок, конверт в запечатанном виде</w:t>
      </w:r>
      <w:r w:rsidR="003F3627" w:rsidRPr="00D65979">
        <w:rPr>
          <w:rFonts w:ascii="Times New Roman" w:hAnsi="Times New Roman"/>
          <w:szCs w:val="24"/>
        </w:rPr>
        <w:t xml:space="preserve"> с</w:t>
      </w:r>
      <w:r w:rsidR="000C5953" w:rsidRPr="00D65979">
        <w:rPr>
          <w:rFonts w:ascii="Times New Roman" w:hAnsi="Times New Roman"/>
          <w:szCs w:val="24"/>
        </w:rPr>
        <w:t xml:space="preserve"> обязательным</w:t>
      </w:r>
      <w:r w:rsidR="003F3627" w:rsidRPr="00D65979">
        <w:rPr>
          <w:rFonts w:ascii="Times New Roman" w:hAnsi="Times New Roman"/>
          <w:szCs w:val="24"/>
        </w:rPr>
        <w:t xml:space="preserve"> указанием номера и наименования закупок</w:t>
      </w:r>
      <w:r w:rsidR="00320AF9" w:rsidRPr="00D65979">
        <w:rPr>
          <w:rFonts w:ascii="Times New Roman" w:hAnsi="Times New Roman"/>
          <w:szCs w:val="24"/>
        </w:rPr>
        <w:t>.</w:t>
      </w:r>
    </w:p>
    <w:p w:rsidR="00EE6CEA" w:rsidRPr="00D65979" w:rsidRDefault="00EE6CEA" w:rsidP="00CE0DA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Cs w:val="24"/>
        </w:rPr>
      </w:pPr>
      <w:r w:rsidRPr="00D65979">
        <w:rPr>
          <w:rFonts w:ascii="Times New Roman" w:hAnsi="Times New Roman"/>
          <w:szCs w:val="24"/>
        </w:rPr>
        <w:t xml:space="preserve">Дата, время и место вскрытия конвертов с ценовыми предложениями: </w:t>
      </w:r>
      <w:r w:rsidR="00486AC3" w:rsidRPr="00D65979">
        <w:rPr>
          <w:rFonts w:ascii="Times New Roman" w:hAnsi="Times New Roman"/>
          <w:szCs w:val="24"/>
        </w:rPr>
        <w:t xml:space="preserve">г. Алматы, </w:t>
      </w:r>
      <w:proofErr w:type="spellStart"/>
      <w:r w:rsidR="00486AC3" w:rsidRPr="00D65979">
        <w:rPr>
          <w:rFonts w:ascii="Times New Roman" w:hAnsi="Times New Roman"/>
          <w:szCs w:val="24"/>
        </w:rPr>
        <w:t>мкр</w:t>
      </w:r>
      <w:proofErr w:type="spellEnd"/>
      <w:r w:rsidR="00486AC3" w:rsidRPr="00D65979">
        <w:rPr>
          <w:rFonts w:ascii="Times New Roman" w:hAnsi="Times New Roman"/>
          <w:szCs w:val="24"/>
        </w:rPr>
        <w:t>. Алатау, кв. Каргалы, 1/5</w:t>
      </w:r>
      <w:r w:rsidR="003562F8" w:rsidRPr="00D65979">
        <w:rPr>
          <w:rFonts w:ascii="Times New Roman" w:hAnsi="Times New Roman"/>
          <w:szCs w:val="24"/>
        </w:rPr>
        <w:t xml:space="preserve">, </w:t>
      </w:r>
      <w:r w:rsidR="00486AC3" w:rsidRPr="00D65979">
        <w:rPr>
          <w:rFonts w:ascii="Times New Roman" w:hAnsi="Times New Roman"/>
          <w:szCs w:val="24"/>
        </w:rPr>
        <w:t>сектор государственных закупок</w:t>
      </w:r>
      <w:r w:rsidR="00D0026C" w:rsidRPr="00D65979">
        <w:rPr>
          <w:rFonts w:ascii="Times New Roman" w:hAnsi="Times New Roman"/>
          <w:szCs w:val="24"/>
        </w:rPr>
        <w:t xml:space="preserve">, </w:t>
      </w:r>
      <w:r w:rsidR="003562F8" w:rsidRPr="00D65979">
        <w:rPr>
          <w:rFonts w:ascii="Times New Roman" w:hAnsi="Times New Roman"/>
          <w:szCs w:val="24"/>
        </w:rPr>
        <w:t xml:space="preserve">дата: </w:t>
      </w:r>
      <w:r w:rsidR="0074058A" w:rsidRPr="00D65979">
        <w:rPr>
          <w:rFonts w:ascii="Times New Roman" w:hAnsi="Times New Roman"/>
          <w:szCs w:val="24"/>
        </w:rPr>
        <w:t>20</w:t>
      </w:r>
      <w:r w:rsidR="00E8732B" w:rsidRPr="00D65979">
        <w:rPr>
          <w:rFonts w:ascii="Times New Roman" w:hAnsi="Times New Roman"/>
          <w:szCs w:val="24"/>
        </w:rPr>
        <w:t>.</w:t>
      </w:r>
      <w:r w:rsidR="0074058A" w:rsidRPr="00D65979">
        <w:rPr>
          <w:rFonts w:ascii="Times New Roman" w:hAnsi="Times New Roman"/>
          <w:szCs w:val="24"/>
        </w:rPr>
        <w:t>01</w:t>
      </w:r>
      <w:r w:rsidR="00614D03" w:rsidRPr="00D65979">
        <w:rPr>
          <w:rFonts w:ascii="Times New Roman" w:hAnsi="Times New Roman"/>
          <w:szCs w:val="24"/>
        </w:rPr>
        <w:t>.202</w:t>
      </w:r>
      <w:r w:rsidR="0074058A" w:rsidRPr="00D65979">
        <w:rPr>
          <w:rFonts w:ascii="Times New Roman" w:hAnsi="Times New Roman"/>
          <w:szCs w:val="24"/>
        </w:rPr>
        <w:t>1</w:t>
      </w:r>
      <w:r w:rsidR="00D0026C" w:rsidRPr="00D65979">
        <w:rPr>
          <w:rFonts w:ascii="Times New Roman" w:hAnsi="Times New Roman"/>
          <w:szCs w:val="24"/>
        </w:rPr>
        <w:t xml:space="preserve"> года время: </w:t>
      </w:r>
      <w:r w:rsidR="00692C03" w:rsidRPr="00D65979">
        <w:rPr>
          <w:rFonts w:ascii="Times New Roman" w:hAnsi="Times New Roman"/>
          <w:szCs w:val="24"/>
        </w:rPr>
        <w:t>1</w:t>
      </w:r>
      <w:r w:rsidR="005E4A03" w:rsidRPr="00D65979">
        <w:rPr>
          <w:rFonts w:ascii="Times New Roman" w:hAnsi="Times New Roman"/>
          <w:szCs w:val="24"/>
        </w:rPr>
        <w:t>2</w:t>
      </w:r>
      <w:r w:rsidR="00D0026C" w:rsidRPr="00D65979">
        <w:rPr>
          <w:rFonts w:ascii="Times New Roman" w:hAnsi="Times New Roman"/>
          <w:szCs w:val="24"/>
        </w:rPr>
        <w:t xml:space="preserve"> часов 00 минут</w:t>
      </w:r>
      <w:r w:rsidRPr="00D65979">
        <w:rPr>
          <w:rFonts w:ascii="Times New Roman" w:hAnsi="Times New Roman"/>
          <w:szCs w:val="24"/>
        </w:rPr>
        <w:t>.</w:t>
      </w:r>
    </w:p>
    <w:p w:rsidR="00E84A57" w:rsidRPr="00D65979" w:rsidRDefault="008C0588" w:rsidP="00C47F39">
      <w:pPr>
        <w:pStyle w:val="a4"/>
        <w:spacing w:after="0"/>
        <w:ind w:left="0" w:firstLine="360"/>
        <w:jc w:val="both"/>
        <w:rPr>
          <w:rFonts w:ascii="Times New Roman" w:hAnsi="Times New Roman"/>
          <w:szCs w:val="24"/>
        </w:rPr>
      </w:pPr>
      <w:r w:rsidRPr="00D65979">
        <w:rPr>
          <w:rFonts w:ascii="Times New Roman" w:hAnsi="Times New Roman"/>
          <w:szCs w:val="24"/>
        </w:rPr>
        <w:t xml:space="preserve">Согласно п.108 </w:t>
      </w:r>
      <w:r w:rsidRPr="00D65979">
        <w:rPr>
          <w:rFonts w:ascii="Times New Roman" w:hAnsi="Times New Roman"/>
          <w:spacing w:val="2"/>
          <w:szCs w:val="24"/>
        </w:rPr>
        <w:t>«</w:t>
      </w:r>
      <w:r w:rsidR="00E84A57" w:rsidRPr="00D65979">
        <w:rPr>
          <w:rFonts w:ascii="Times New Roman" w:hAnsi="Times New Roman"/>
          <w:spacing w:val="2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E84A57" w:rsidRPr="00D65979">
        <w:rPr>
          <w:rFonts w:ascii="Times New Roman" w:hAnsi="Times New Roman"/>
          <w:spacing w:val="2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услуг»</w:t>
      </w:r>
      <w:r w:rsidRPr="00D65979">
        <w:rPr>
          <w:rFonts w:ascii="Times New Roman" w:hAnsi="Times New Roman"/>
          <w:spacing w:val="2"/>
          <w:szCs w:val="24"/>
        </w:rPr>
        <w:t xml:space="preserve">. </w:t>
      </w:r>
      <w:proofErr w:type="gramEnd"/>
    </w:p>
    <w:p w:rsidR="003601BE" w:rsidRPr="00D65979" w:rsidRDefault="003601BE" w:rsidP="003601BE">
      <w:pPr>
        <w:spacing w:after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D65979">
        <w:rPr>
          <w:rFonts w:ascii="Times New Roman" w:hAnsi="Times New Roman"/>
          <w:color w:val="000000"/>
          <w:szCs w:val="24"/>
        </w:rPr>
        <w:t>Товары, приобретаемые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должны соответствовать п. 20 главы 4 Правил организации и проведения закупа лекарственных средств и медицинских изделий, фармацевтических услуг</w:t>
      </w:r>
      <w:r w:rsidR="008A7397" w:rsidRPr="00D65979">
        <w:rPr>
          <w:rFonts w:ascii="Times New Roman" w:hAnsi="Times New Roman"/>
          <w:color w:val="000000"/>
          <w:szCs w:val="24"/>
        </w:rPr>
        <w:t>.</w:t>
      </w:r>
    </w:p>
    <w:p w:rsidR="00E84A57" w:rsidRPr="00D65979" w:rsidRDefault="003601BE" w:rsidP="003601BE">
      <w:pPr>
        <w:spacing w:after="0"/>
        <w:jc w:val="both"/>
        <w:rPr>
          <w:rFonts w:ascii="Times New Roman" w:hAnsi="Times New Roman"/>
          <w:szCs w:val="24"/>
        </w:rPr>
      </w:pPr>
      <w:bookmarkStart w:id="1" w:name="z1743"/>
      <w:r w:rsidRPr="00D65979">
        <w:rPr>
          <w:rFonts w:ascii="Times New Roman" w:hAnsi="Times New Roman"/>
          <w:color w:val="000000"/>
          <w:szCs w:val="24"/>
        </w:rPr>
        <w:t xml:space="preserve">      </w:t>
      </w:r>
      <w:bookmarkEnd w:id="1"/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4046"/>
        <w:gridCol w:w="1560"/>
        <w:gridCol w:w="976"/>
        <w:gridCol w:w="1404"/>
        <w:gridCol w:w="1460"/>
        <w:gridCol w:w="1460"/>
        <w:gridCol w:w="2434"/>
      </w:tblGrid>
      <w:tr w:rsidR="003601BE" w:rsidRPr="00D5435F" w:rsidTr="00D65979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Крачковский И.И.</w:t>
            </w:r>
          </w:p>
        </w:tc>
      </w:tr>
      <w:tr w:rsidR="003601BE" w:rsidRPr="00D5435F" w:rsidTr="00D65979">
        <w:trPr>
          <w:trHeight w:val="234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161" w:rsidRPr="00D5435F" w:rsidTr="00D65979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</w:tcPr>
          <w:p w:rsidR="003C5161" w:rsidRPr="00D5435F" w:rsidRDefault="003C5161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</w:t>
            </w:r>
            <w:r w:rsidR="00740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еститель</w:t>
            </w: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директора по лечебно-реабилитационной работе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3C5161" w:rsidRPr="00D5435F" w:rsidRDefault="003C5161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4058A" w:rsidRPr="00D5435F" w:rsidRDefault="003C5161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Бейсембаева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С.Ч.</w:t>
            </w:r>
          </w:p>
        </w:tc>
      </w:tr>
      <w:tr w:rsidR="003601BE" w:rsidRPr="00D5435F" w:rsidTr="00D65979">
        <w:trPr>
          <w:trHeight w:val="222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58A" w:rsidRPr="00D5435F" w:rsidTr="00D65979">
        <w:trPr>
          <w:trHeight w:val="222"/>
        </w:trPr>
        <w:tc>
          <w:tcPr>
            <w:tcW w:w="7986" w:type="dxa"/>
            <w:gridSpan w:val="4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еститель</w:t>
            </w: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финансово-хозяйственной</w:t>
            </w: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Омарханов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74058A" w:rsidRPr="00D5435F" w:rsidTr="00D65979">
        <w:trPr>
          <w:trHeight w:val="222"/>
        </w:trPr>
        <w:tc>
          <w:tcPr>
            <w:tcW w:w="4046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58A" w:rsidRPr="00D5435F" w:rsidTr="00D65979">
        <w:trPr>
          <w:trHeight w:val="315"/>
        </w:trPr>
        <w:tc>
          <w:tcPr>
            <w:tcW w:w="4046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Мархабаева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Д.К.</w:t>
            </w:r>
          </w:p>
        </w:tc>
      </w:tr>
      <w:tr w:rsidR="0074058A" w:rsidRPr="00D5435F" w:rsidTr="00D65979">
        <w:trPr>
          <w:trHeight w:val="244"/>
        </w:trPr>
        <w:tc>
          <w:tcPr>
            <w:tcW w:w="4046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58A" w:rsidRPr="00D5435F" w:rsidTr="00D65979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главного экономиста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Керимкулова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74058A" w:rsidRPr="00D5435F" w:rsidTr="00D65979">
        <w:trPr>
          <w:trHeight w:val="238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58A" w:rsidRPr="00D5435F" w:rsidTr="00D65979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иалист</w:t>
            </w: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ГЗ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Даутбекова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74058A" w:rsidRPr="00D5435F" w:rsidTr="00D65979">
        <w:trPr>
          <w:trHeight w:val="240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58A" w:rsidRPr="00D5435F" w:rsidTr="00D65979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иалист</w:t>
            </w: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ГЗ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Распеков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Б.Д.</w:t>
            </w:r>
          </w:p>
        </w:tc>
      </w:tr>
      <w:tr w:rsidR="0074058A" w:rsidRPr="00D5435F" w:rsidTr="00D65979">
        <w:trPr>
          <w:trHeight w:val="229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58A" w:rsidRPr="00D5435F" w:rsidTr="00D65979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Заведующая ЛРО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Бекова А.Б.</w:t>
            </w:r>
          </w:p>
        </w:tc>
      </w:tr>
    </w:tbl>
    <w:p w:rsidR="00895288" w:rsidRPr="00087CCF" w:rsidRDefault="00895288" w:rsidP="00C86C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95288" w:rsidRPr="00087CCF" w:rsidSect="00324F7B">
      <w:pgSz w:w="16838" w:h="11906" w:orient="landscape"/>
      <w:pgMar w:top="567" w:right="99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9F" w:rsidRDefault="00CF349F" w:rsidP="00233E55">
      <w:pPr>
        <w:spacing w:after="0" w:line="240" w:lineRule="auto"/>
      </w:pPr>
      <w:r>
        <w:separator/>
      </w:r>
    </w:p>
  </w:endnote>
  <w:endnote w:type="continuationSeparator" w:id="0">
    <w:p w:rsidR="00CF349F" w:rsidRDefault="00CF349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Helvetic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9F" w:rsidRDefault="00CF349F" w:rsidP="00233E55">
      <w:pPr>
        <w:spacing w:after="0" w:line="240" w:lineRule="auto"/>
      </w:pPr>
      <w:r>
        <w:separator/>
      </w:r>
    </w:p>
  </w:footnote>
  <w:footnote w:type="continuationSeparator" w:id="0">
    <w:p w:rsidR="00CF349F" w:rsidRDefault="00CF349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46"/>
    <w:multiLevelType w:val="hybridMultilevel"/>
    <w:tmpl w:val="147636A4"/>
    <w:lvl w:ilvl="0" w:tplc="890AAA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4E1"/>
    <w:multiLevelType w:val="multilevel"/>
    <w:tmpl w:val="ADC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D073C"/>
    <w:multiLevelType w:val="hybridMultilevel"/>
    <w:tmpl w:val="88EE7D16"/>
    <w:lvl w:ilvl="0" w:tplc="B0ECBF3A">
      <w:start w:val="1"/>
      <w:numFmt w:val="decimal"/>
      <w:lvlText w:val="%1."/>
      <w:lvlJc w:val="left"/>
      <w:pPr>
        <w:ind w:left="720" w:hanging="360"/>
      </w:pPr>
      <w:rPr>
        <w:rFonts w:cs="AG_Helvetica,Bold" w:hint="default"/>
        <w:b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0C18"/>
    <w:multiLevelType w:val="hybridMultilevel"/>
    <w:tmpl w:val="35F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10409"/>
    <w:multiLevelType w:val="hybridMultilevel"/>
    <w:tmpl w:val="D4B2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C3F1C"/>
    <w:multiLevelType w:val="hybridMultilevel"/>
    <w:tmpl w:val="0FC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B66B4"/>
    <w:multiLevelType w:val="hybridMultilevel"/>
    <w:tmpl w:val="CD92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B41F0"/>
    <w:multiLevelType w:val="hybridMultilevel"/>
    <w:tmpl w:val="08506124"/>
    <w:lvl w:ilvl="0" w:tplc="D7881E8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7331"/>
    <w:multiLevelType w:val="hybridMultilevel"/>
    <w:tmpl w:val="6E4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EC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3501D"/>
    <w:multiLevelType w:val="hybridMultilevel"/>
    <w:tmpl w:val="5548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5553"/>
    <w:rsid w:val="000101D0"/>
    <w:rsid w:val="00012605"/>
    <w:rsid w:val="00020FAC"/>
    <w:rsid w:val="00022430"/>
    <w:rsid w:val="0002541F"/>
    <w:rsid w:val="00027A35"/>
    <w:rsid w:val="000313BF"/>
    <w:rsid w:val="000319E7"/>
    <w:rsid w:val="0003631C"/>
    <w:rsid w:val="00036742"/>
    <w:rsid w:val="000410E0"/>
    <w:rsid w:val="000416A0"/>
    <w:rsid w:val="00041BD6"/>
    <w:rsid w:val="000452AD"/>
    <w:rsid w:val="000452F7"/>
    <w:rsid w:val="00047BC4"/>
    <w:rsid w:val="00050457"/>
    <w:rsid w:val="00052F24"/>
    <w:rsid w:val="00053997"/>
    <w:rsid w:val="000613F4"/>
    <w:rsid w:val="00061920"/>
    <w:rsid w:val="00061C1A"/>
    <w:rsid w:val="00062274"/>
    <w:rsid w:val="0006254E"/>
    <w:rsid w:val="00063411"/>
    <w:rsid w:val="00063A2B"/>
    <w:rsid w:val="000655EB"/>
    <w:rsid w:val="00073A52"/>
    <w:rsid w:val="00073F79"/>
    <w:rsid w:val="000769AC"/>
    <w:rsid w:val="000774CC"/>
    <w:rsid w:val="00085214"/>
    <w:rsid w:val="00087CCF"/>
    <w:rsid w:val="00091952"/>
    <w:rsid w:val="00096EB9"/>
    <w:rsid w:val="000A1A41"/>
    <w:rsid w:val="000A4CBE"/>
    <w:rsid w:val="000B4161"/>
    <w:rsid w:val="000B4189"/>
    <w:rsid w:val="000B5626"/>
    <w:rsid w:val="000B6EF1"/>
    <w:rsid w:val="000C1B3C"/>
    <w:rsid w:val="000C5953"/>
    <w:rsid w:val="000C6CBA"/>
    <w:rsid w:val="000D305E"/>
    <w:rsid w:val="000D50BB"/>
    <w:rsid w:val="000D5B80"/>
    <w:rsid w:val="000D6049"/>
    <w:rsid w:val="000D7AF2"/>
    <w:rsid w:val="000E2AC5"/>
    <w:rsid w:val="000E3DB0"/>
    <w:rsid w:val="000E458F"/>
    <w:rsid w:val="000F0664"/>
    <w:rsid w:val="000F221C"/>
    <w:rsid w:val="000F3F00"/>
    <w:rsid w:val="001013DE"/>
    <w:rsid w:val="0011224C"/>
    <w:rsid w:val="00121D8D"/>
    <w:rsid w:val="001237B6"/>
    <w:rsid w:val="0013065E"/>
    <w:rsid w:val="0013442F"/>
    <w:rsid w:val="00134B8A"/>
    <w:rsid w:val="0013781D"/>
    <w:rsid w:val="00140030"/>
    <w:rsid w:val="00147B3B"/>
    <w:rsid w:val="001514B0"/>
    <w:rsid w:val="001559BC"/>
    <w:rsid w:val="00156906"/>
    <w:rsid w:val="00161AC9"/>
    <w:rsid w:val="00170614"/>
    <w:rsid w:val="00173340"/>
    <w:rsid w:val="0017773C"/>
    <w:rsid w:val="00180A65"/>
    <w:rsid w:val="00180AE7"/>
    <w:rsid w:val="00181CFC"/>
    <w:rsid w:val="00186018"/>
    <w:rsid w:val="001947CB"/>
    <w:rsid w:val="001951E9"/>
    <w:rsid w:val="001966C2"/>
    <w:rsid w:val="001974F7"/>
    <w:rsid w:val="00197BC4"/>
    <w:rsid w:val="001A0C65"/>
    <w:rsid w:val="001A1819"/>
    <w:rsid w:val="001A2D6D"/>
    <w:rsid w:val="001A3491"/>
    <w:rsid w:val="001A799A"/>
    <w:rsid w:val="001B3FA2"/>
    <w:rsid w:val="001C0705"/>
    <w:rsid w:val="001E3307"/>
    <w:rsid w:val="001E334C"/>
    <w:rsid w:val="001F1A04"/>
    <w:rsid w:val="001F2396"/>
    <w:rsid w:val="001F2957"/>
    <w:rsid w:val="00200B38"/>
    <w:rsid w:val="002033AF"/>
    <w:rsid w:val="00204788"/>
    <w:rsid w:val="00205CEB"/>
    <w:rsid w:val="002124C0"/>
    <w:rsid w:val="002207E0"/>
    <w:rsid w:val="00220AC5"/>
    <w:rsid w:val="00221C96"/>
    <w:rsid w:val="00223A69"/>
    <w:rsid w:val="00223AA2"/>
    <w:rsid w:val="002242F9"/>
    <w:rsid w:val="00225B5F"/>
    <w:rsid w:val="00232D20"/>
    <w:rsid w:val="00233E55"/>
    <w:rsid w:val="00240F63"/>
    <w:rsid w:val="002505B7"/>
    <w:rsid w:val="00250CB1"/>
    <w:rsid w:val="002577DF"/>
    <w:rsid w:val="00260FF5"/>
    <w:rsid w:val="00261ECA"/>
    <w:rsid w:val="002673E0"/>
    <w:rsid w:val="00267CA7"/>
    <w:rsid w:val="00273FBD"/>
    <w:rsid w:val="00284672"/>
    <w:rsid w:val="00285597"/>
    <w:rsid w:val="0029244C"/>
    <w:rsid w:val="00296154"/>
    <w:rsid w:val="0029669F"/>
    <w:rsid w:val="00297880"/>
    <w:rsid w:val="002B4E63"/>
    <w:rsid w:val="002B65A7"/>
    <w:rsid w:val="002C04EF"/>
    <w:rsid w:val="002C32FB"/>
    <w:rsid w:val="002D2A38"/>
    <w:rsid w:val="002D3955"/>
    <w:rsid w:val="002D4543"/>
    <w:rsid w:val="002D4E9F"/>
    <w:rsid w:val="002D533B"/>
    <w:rsid w:val="002D5569"/>
    <w:rsid w:val="002F1235"/>
    <w:rsid w:val="002F1785"/>
    <w:rsid w:val="002F4DCF"/>
    <w:rsid w:val="002F676B"/>
    <w:rsid w:val="002F789D"/>
    <w:rsid w:val="00316CF1"/>
    <w:rsid w:val="00316EE0"/>
    <w:rsid w:val="00320AF9"/>
    <w:rsid w:val="00323FC5"/>
    <w:rsid w:val="00324F7B"/>
    <w:rsid w:val="003301C9"/>
    <w:rsid w:val="003351DA"/>
    <w:rsid w:val="003401A4"/>
    <w:rsid w:val="0034165C"/>
    <w:rsid w:val="00352381"/>
    <w:rsid w:val="00352DE5"/>
    <w:rsid w:val="003562F8"/>
    <w:rsid w:val="003563C5"/>
    <w:rsid w:val="00360114"/>
    <w:rsid w:val="003601BE"/>
    <w:rsid w:val="00365196"/>
    <w:rsid w:val="00372C28"/>
    <w:rsid w:val="00373CF2"/>
    <w:rsid w:val="00382E28"/>
    <w:rsid w:val="0038376F"/>
    <w:rsid w:val="00387563"/>
    <w:rsid w:val="00387647"/>
    <w:rsid w:val="0039003F"/>
    <w:rsid w:val="00392B20"/>
    <w:rsid w:val="00395A49"/>
    <w:rsid w:val="00397E53"/>
    <w:rsid w:val="003A341B"/>
    <w:rsid w:val="003A724F"/>
    <w:rsid w:val="003A7AAD"/>
    <w:rsid w:val="003B0B83"/>
    <w:rsid w:val="003B190C"/>
    <w:rsid w:val="003B1F3F"/>
    <w:rsid w:val="003B43E8"/>
    <w:rsid w:val="003B5907"/>
    <w:rsid w:val="003B6027"/>
    <w:rsid w:val="003B60A0"/>
    <w:rsid w:val="003B750E"/>
    <w:rsid w:val="003C0040"/>
    <w:rsid w:val="003C3EF4"/>
    <w:rsid w:val="003C5161"/>
    <w:rsid w:val="003D3BBB"/>
    <w:rsid w:val="003D5040"/>
    <w:rsid w:val="003E5DE1"/>
    <w:rsid w:val="003F3627"/>
    <w:rsid w:val="003F7291"/>
    <w:rsid w:val="00401BCA"/>
    <w:rsid w:val="004049A3"/>
    <w:rsid w:val="00410ECE"/>
    <w:rsid w:val="00411936"/>
    <w:rsid w:val="00411CD9"/>
    <w:rsid w:val="00420248"/>
    <w:rsid w:val="00420FC5"/>
    <w:rsid w:val="0042725A"/>
    <w:rsid w:val="00434F69"/>
    <w:rsid w:val="00441DCF"/>
    <w:rsid w:val="0044435B"/>
    <w:rsid w:val="0044445E"/>
    <w:rsid w:val="0044452F"/>
    <w:rsid w:val="004505B4"/>
    <w:rsid w:val="00450881"/>
    <w:rsid w:val="004511EC"/>
    <w:rsid w:val="0045244B"/>
    <w:rsid w:val="0046360D"/>
    <w:rsid w:val="00473C18"/>
    <w:rsid w:val="00474127"/>
    <w:rsid w:val="0047528A"/>
    <w:rsid w:val="0048171D"/>
    <w:rsid w:val="00482160"/>
    <w:rsid w:val="00483BA8"/>
    <w:rsid w:val="00486AC3"/>
    <w:rsid w:val="00487E65"/>
    <w:rsid w:val="004906D9"/>
    <w:rsid w:val="00492FDA"/>
    <w:rsid w:val="00493A8B"/>
    <w:rsid w:val="004B0555"/>
    <w:rsid w:val="004B0A23"/>
    <w:rsid w:val="004B31FA"/>
    <w:rsid w:val="004B56F8"/>
    <w:rsid w:val="004C135D"/>
    <w:rsid w:val="004C172B"/>
    <w:rsid w:val="004C557A"/>
    <w:rsid w:val="004D14F8"/>
    <w:rsid w:val="004D2533"/>
    <w:rsid w:val="004F4677"/>
    <w:rsid w:val="004F553D"/>
    <w:rsid w:val="004F64C4"/>
    <w:rsid w:val="004F6984"/>
    <w:rsid w:val="004F6AD7"/>
    <w:rsid w:val="00501477"/>
    <w:rsid w:val="00501749"/>
    <w:rsid w:val="005025F5"/>
    <w:rsid w:val="00511790"/>
    <w:rsid w:val="00511DCA"/>
    <w:rsid w:val="00513DA3"/>
    <w:rsid w:val="00520A4A"/>
    <w:rsid w:val="00520E9A"/>
    <w:rsid w:val="005226DA"/>
    <w:rsid w:val="0052322C"/>
    <w:rsid w:val="005339F5"/>
    <w:rsid w:val="0054076E"/>
    <w:rsid w:val="00541496"/>
    <w:rsid w:val="00554BB3"/>
    <w:rsid w:val="00556011"/>
    <w:rsid w:val="0055728D"/>
    <w:rsid w:val="00562345"/>
    <w:rsid w:val="005726F4"/>
    <w:rsid w:val="00574521"/>
    <w:rsid w:val="00575B29"/>
    <w:rsid w:val="005814C7"/>
    <w:rsid w:val="00585B17"/>
    <w:rsid w:val="005903FB"/>
    <w:rsid w:val="00594568"/>
    <w:rsid w:val="005A07D6"/>
    <w:rsid w:val="005A6FE7"/>
    <w:rsid w:val="005B1AAD"/>
    <w:rsid w:val="005B374A"/>
    <w:rsid w:val="005C5E12"/>
    <w:rsid w:val="005C63BE"/>
    <w:rsid w:val="005C6FBD"/>
    <w:rsid w:val="005D01F2"/>
    <w:rsid w:val="005D3FB7"/>
    <w:rsid w:val="005D5197"/>
    <w:rsid w:val="005D5D0A"/>
    <w:rsid w:val="005D5EB6"/>
    <w:rsid w:val="005E05DF"/>
    <w:rsid w:val="005E4A03"/>
    <w:rsid w:val="005F110A"/>
    <w:rsid w:val="005F132F"/>
    <w:rsid w:val="005F43EF"/>
    <w:rsid w:val="00603368"/>
    <w:rsid w:val="00604B60"/>
    <w:rsid w:val="00614D03"/>
    <w:rsid w:val="0062091F"/>
    <w:rsid w:val="00632B54"/>
    <w:rsid w:val="00634B13"/>
    <w:rsid w:val="006360CE"/>
    <w:rsid w:val="006434A4"/>
    <w:rsid w:val="00644BEB"/>
    <w:rsid w:val="00644D89"/>
    <w:rsid w:val="006456AB"/>
    <w:rsid w:val="00647584"/>
    <w:rsid w:val="00647923"/>
    <w:rsid w:val="00654985"/>
    <w:rsid w:val="00656310"/>
    <w:rsid w:val="0066324C"/>
    <w:rsid w:val="00665B6B"/>
    <w:rsid w:val="00672774"/>
    <w:rsid w:val="006770FC"/>
    <w:rsid w:val="00677DCF"/>
    <w:rsid w:val="006809D2"/>
    <w:rsid w:val="006831E0"/>
    <w:rsid w:val="00684D73"/>
    <w:rsid w:val="006912AF"/>
    <w:rsid w:val="00692C03"/>
    <w:rsid w:val="006A22EB"/>
    <w:rsid w:val="006A2F2E"/>
    <w:rsid w:val="006A6141"/>
    <w:rsid w:val="006B3423"/>
    <w:rsid w:val="006B3977"/>
    <w:rsid w:val="006B7235"/>
    <w:rsid w:val="006C2016"/>
    <w:rsid w:val="006C2457"/>
    <w:rsid w:val="006C2FB9"/>
    <w:rsid w:val="006C3963"/>
    <w:rsid w:val="006D2952"/>
    <w:rsid w:val="006D74C2"/>
    <w:rsid w:val="006E0650"/>
    <w:rsid w:val="006E13C7"/>
    <w:rsid w:val="006E143E"/>
    <w:rsid w:val="006E5084"/>
    <w:rsid w:val="006E6E51"/>
    <w:rsid w:val="006F2241"/>
    <w:rsid w:val="006F399F"/>
    <w:rsid w:val="007016B9"/>
    <w:rsid w:val="00701C75"/>
    <w:rsid w:val="007024AB"/>
    <w:rsid w:val="00702BC9"/>
    <w:rsid w:val="0070417A"/>
    <w:rsid w:val="0070458F"/>
    <w:rsid w:val="00712CA0"/>
    <w:rsid w:val="007143E7"/>
    <w:rsid w:val="00716A1A"/>
    <w:rsid w:val="007219AD"/>
    <w:rsid w:val="007305AC"/>
    <w:rsid w:val="00734E3D"/>
    <w:rsid w:val="0073713D"/>
    <w:rsid w:val="0074058A"/>
    <w:rsid w:val="00741326"/>
    <w:rsid w:val="00742925"/>
    <w:rsid w:val="00743433"/>
    <w:rsid w:val="0074352F"/>
    <w:rsid w:val="00745C26"/>
    <w:rsid w:val="00750B9A"/>
    <w:rsid w:val="007518F6"/>
    <w:rsid w:val="007602E1"/>
    <w:rsid w:val="0076052F"/>
    <w:rsid w:val="007606F2"/>
    <w:rsid w:val="00763B09"/>
    <w:rsid w:val="00763FE6"/>
    <w:rsid w:val="00770705"/>
    <w:rsid w:val="00776EBF"/>
    <w:rsid w:val="007855B0"/>
    <w:rsid w:val="00785ED0"/>
    <w:rsid w:val="00786553"/>
    <w:rsid w:val="00791CE8"/>
    <w:rsid w:val="00792B37"/>
    <w:rsid w:val="007939D1"/>
    <w:rsid w:val="00793D3B"/>
    <w:rsid w:val="00795FD6"/>
    <w:rsid w:val="00796AD3"/>
    <w:rsid w:val="00797AF8"/>
    <w:rsid w:val="007A04AF"/>
    <w:rsid w:val="007A5B39"/>
    <w:rsid w:val="007B0135"/>
    <w:rsid w:val="007B4202"/>
    <w:rsid w:val="007C1AAD"/>
    <w:rsid w:val="007D02A9"/>
    <w:rsid w:val="007D1861"/>
    <w:rsid w:val="007E57FD"/>
    <w:rsid w:val="007E5FB0"/>
    <w:rsid w:val="0081164B"/>
    <w:rsid w:val="0081461D"/>
    <w:rsid w:val="0082198E"/>
    <w:rsid w:val="00827407"/>
    <w:rsid w:val="008336A8"/>
    <w:rsid w:val="008338FE"/>
    <w:rsid w:val="008372C0"/>
    <w:rsid w:val="008378E0"/>
    <w:rsid w:val="008411B1"/>
    <w:rsid w:val="00843C91"/>
    <w:rsid w:val="00844ADD"/>
    <w:rsid w:val="00845C48"/>
    <w:rsid w:val="00851AB6"/>
    <w:rsid w:val="0085777B"/>
    <w:rsid w:val="00860214"/>
    <w:rsid w:val="00860F61"/>
    <w:rsid w:val="00864456"/>
    <w:rsid w:val="00867A88"/>
    <w:rsid w:val="008722DF"/>
    <w:rsid w:val="00875885"/>
    <w:rsid w:val="00886EE7"/>
    <w:rsid w:val="00890511"/>
    <w:rsid w:val="0089147E"/>
    <w:rsid w:val="00894E88"/>
    <w:rsid w:val="00895288"/>
    <w:rsid w:val="008966CD"/>
    <w:rsid w:val="008A4266"/>
    <w:rsid w:val="008A4B63"/>
    <w:rsid w:val="008A7397"/>
    <w:rsid w:val="008B20BF"/>
    <w:rsid w:val="008B5FE8"/>
    <w:rsid w:val="008C0588"/>
    <w:rsid w:val="008C270E"/>
    <w:rsid w:val="008C2B2F"/>
    <w:rsid w:val="008C5911"/>
    <w:rsid w:val="008C7BE4"/>
    <w:rsid w:val="008D31EE"/>
    <w:rsid w:val="008D38DD"/>
    <w:rsid w:val="008D4DF2"/>
    <w:rsid w:val="008E4805"/>
    <w:rsid w:val="008E4E92"/>
    <w:rsid w:val="008E50C0"/>
    <w:rsid w:val="008E749B"/>
    <w:rsid w:val="008F137A"/>
    <w:rsid w:val="008F60B1"/>
    <w:rsid w:val="008F61AD"/>
    <w:rsid w:val="008F6D16"/>
    <w:rsid w:val="009001CE"/>
    <w:rsid w:val="00900777"/>
    <w:rsid w:val="009046DF"/>
    <w:rsid w:val="00904CB8"/>
    <w:rsid w:val="009069D1"/>
    <w:rsid w:val="00907D95"/>
    <w:rsid w:val="0091014E"/>
    <w:rsid w:val="009172B1"/>
    <w:rsid w:val="00917E17"/>
    <w:rsid w:val="00925EE9"/>
    <w:rsid w:val="00927204"/>
    <w:rsid w:val="00932795"/>
    <w:rsid w:val="00936052"/>
    <w:rsid w:val="009362D2"/>
    <w:rsid w:val="00937591"/>
    <w:rsid w:val="00940F8D"/>
    <w:rsid w:val="00941F4A"/>
    <w:rsid w:val="009459B2"/>
    <w:rsid w:val="00947328"/>
    <w:rsid w:val="009567A5"/>
    <w:rsid w:val="00956A8F"/>
    <w:rsid w:val="00961CCF"/>
    <w:rsid w:val="0096212A"/>
    <w:rsid w:val="009638FF"/>
    <w:rsid w:val="00965086"/>
    <w:rsid w:val="00965402"/>
    <w:rsid w:val="009673B7"/>
    <w:rsid w:val="00973369"/>
    <w:rsid w:val="009753FC"/>
    <w:rsid w:val="00983C06"/>
    <w:rsid w:val="00992CCB"/>
    <w:rsid w:val="00993F05"/>
    <w:rsid w:val="0099438A"/>
    <w:rsid w:val="009A039D"/>
    <w:rsid w:val="009A1A0B"/>
    <w:rsid w:val="009A258F"/>
    <w:rsid w:val="009A2846"/>
    <w:rsid w:val="009A554F"/>
    <w:rsid w:val="009A60CE"/>
    <w:rsid w:val="009A6D33"/>
    <w:rsid w:val="009B3CF5"/>
    <w:rsid w:val="009B5244"/>
    <w:rsid w:val="009C166D"/>
    <w:rsid w:val="009C21E2"/>
    <w:rsid w:val="009C2C4F"/>
    <w:rsid w:val="009C4563"/>
    <w:rsid w:val="009D03F1"/>
    <w:rsid w:val="009D129C"/>
    <w:rsid w:val="009E3477"/>
    <w:rsid w:val="009E739A"/>
    <w:rsid w:val="009F1B1B"/>
    <w:rsid w:val="009F2B98"/>
    <w:rsid w:val="009F55DE"/>
    <w:rsid w:val="009F7506"/>
    <w:rsid w:val="00A01BE3"/>
    <w:rsid w:val="00A04406"/>
    <w:rsid w:val="00A07978"/>
    <w:rsid w:val="00A1162E"/>
    <w:rsid w:val="00A169D3"/>
    <w:rsid w:val="00A20E00"/>
    <w:rsid w:val="00A22610"/>
    <w:rsid w:val="00A303A5"/>
    <w:rsid w:val="00A40D25"/>
    <w:rsid w:val="00A455A7"/>
    <w:rsid w:val="00A56B78"/>
    <w:rsid w:val="00A628A9"/>
    <w:rsid w:val="00A64967"/>
    <w:rsid w:val="00A71A40"/>
    <w:rsid w:val="00A726CC"/>
    <w:rsid w:val="00A7293E"/>
    <w:rsid w:val="00A741BA"/>
    <w:rsid w:val="00A749AD"/>
    <w:rsid w:val="00A855EE"/>
    <w:rsid w:val="00A86164"/>
    <w:rsid w:val="00AA2305"/>
    <w:rsid w:val="00AA3808"/>
    <w:rsid w:val="00AB01E9"/>
    <w:rsid w:val="00AC08D4"/>
    <w:rsid w:val="00AD0353"/>
    <w:rsid w:val="00AD25D3"/>
    <w:rsid w:val="00AD341B"/>
    <w:rsid w:val="00AD3676"/>
    <w:rsid w:val="00AE1829"/>
    <w:rsid w:val="00AE4A06"/>
    <w:rsid w:val="00AF0FE8"/>
    <w:rsid w:val="00AF2537"/>
    <w:rsid w:val="00AF5879"/>
    <w:rsid w:val="00B054A7"/>
    <w:rsid w:val="00B05EA8"/>
    <w:rsid w:val="00B0676C"/>
    <w:rsid w:val="00B13436"/>
    <w:rsid w:val="00B145A9"/>
    <w:rsid w:val="00B157A6"/>
    <w:rsid w:val="00B2040D"/>
    <w:rsid w:val="00B21B05"/>
    <w:rsid w:val="00B232AC"/>
    <w:rsid w:val="00B2444D"/>
    <w:rsid w:val="00B335A0"/>
    <w:rsid w:val="00B33882"/>
    <w:rsid w:val="00B34843"/>
    <w:rsid w:val="00B35094"/>
    <w:rsid w:val="00B3566D"/>
    <w:rsid w:val="00B50D37"/>
    <w:rsid w:val="00B53691"/>
    <w:rsid w:val="00B565EC"/>
    <w:rsid w:val="00B662CE"/>
    <w:rsid w:val="00B70A43"/>
    <w:rsid w:val="00B732E3"/>
    <w:rsid w:val="00B77251"/>
    <w:rsid w:val="00B8136E"/>
    <w:rsid w:val="00B82039"/>
    <w:rsid w:val="00B837E0"/>
    <w:rsid w:val="00B87E32"/>
    <w:rsid w:val="00B96C12"/>
    <w:rsid w:val="00BA4864"/>
    <w:rsid w:val="00BB2922"/>
    <w:rsid w:val="00BB5C38"/>
    <w:rsid w:val="00BC306E"/>
    <w:rsid w:val="00BC3C21"/>
    <w:rsid w:val="00BC69DC"/>
    <w:rsid w:val="00BD0C96"/>
    <w:rsid w:val="00BD4F83"/>
    <w:rsid w:val="00BD57FB"/>
    <w:rsid w:val="00BD6CB8"/>
    <w:rsid w:val="00BD7D89"/>
    <w:rsid w:val="00BD7F30"/>
    <w:rsid w:val="00BF143A"/>
    <w:rsid w:val="00BF2A4A"/>
    <w:rsid w:val="00C043D9"/>
    <w:rsid w:val="00C13DCC"/>
    <w:rsid w:val="00C16D32"/>
    <w:rsid w:val="00C25860"/>
    <w:rsid w:val="00C26C2B"/>
    <w:rsid w:val="00C314BB"/>
    <w:rsid w:val="00C34822"/>
    <w:rsid w:val="00C36500"/>
    <w:rsid w:val="00C455AD"/>
    <w:rsid w:val="00C46430"/>
    <w:rsid w:val="00C4741F"/>
    <w:rsid w:val="00C47F39"/>
    <w:rsid w:val="00C53AB8"/>
    <w:rsid w:val="00C56F03"/>
    <w:rsid w:val="00C62D32"/>
    <w:rsid w:val="00C63AB0"/>
    <w:rsid w:val="00C713EA"/>
    <w:rsid w:val="00C72B50"/>
    <w:rsid w:val="00C7318E"/>
    <w:rsid w:val="00C75323"/>
    <w:rsid w:val="00C823D0"/>
    <w:rsid w:val="00C86C49"/>
    <w:rsid w:val="00C907A7"/>
    <w:rsid w:val="00C92BAE"/>
    <w:rsid w:val="00C931FA"/>
    <w:rsid w:val="00C9471A"/>
    <w:rsid w:val="00CA0C2A"/>
    <w:rsid w:val="00CA3DBC"/>
    <w:rsid w:val="00CB2229"/>
    <w:rsid w:val="00CB3460"/>
    <w:rsid w:val="00CC2CA5"/>
    <w:rsid w:val="00CC5BFF"/>
    <w:rsid w:val="00CC6071"/>
    <w:rsid w:val="00CC6EE5"/>
    <w:rsid w:val="00CC7CFA"/>
    <w:rsid w:val="00CD0433"/>
    <w:rsid w:val="00CD1882"/>
    <w:rsid w:val="00CD2647"/>
    <w:rsid w:val="00CD2B3F"/>
    <w:rsid w:val="00CD31D2"/>
    <w:rsid w:val="00CD3512"/>
    <w:rsid w:val="00CE0DA1"/>
    <w:rsid w:val="00CE400B"/>
    <w:rsid w:val="00CF1AFE"/>
    <w:rsid w:val="00CF349F"/>
    <w:rsid w:val="00CF41A5"/>
    <w:rsid w:val="00CF4664"/>
    <w:rsid w:val="00CF4C03"/>
    <w:rsid w:val="00D0026C"/>
    <w:rsid w:val="00D002FA"/>
    <w:rsid w:val="00D042B5"/>
    <w:rsid w:val="00D07DE3"/>
    <w:rsid w:val="00D139F0"/>
    <w:rsid w:val="00D14DFC"/>
    <w:rsid w:val="00D16D18"/>
    <w:rsid w:val="00D21632"/>
    <w:rsid w:val="00D22830"/>
    <w:rsid w:val="00D23106"/>
    <w:rsid w:val="00D25A03"/>
    <w:rsid w:val="00D3525A"/>
    <w:rsid w:val="00D355BF"/>
    <w:rsid w:val="00D37A40"/>
    <w:rsid w:val="00D37A7D"/>
    <w:rsid w:val="00D40525"/>
    <w:rsid w:val="00D445A5"/>
    <w:rsid w:val="00D46A77"/>
    <w:rsid w:val="00D509B5"/>
    <w:rsid w:val="00D513AC"/>
    <w:rsid w:val="00D519C8"/>
    <w:rsid w:val="00D52116"/>
    <w:rsid w:val="00D541C7"/>
    <w:rsid w:val="00D5435F"/>
    <w:rsid w:val="00D5785A"/>
    <w:rsid w:val="00D639AE"/>
    <w:rsid w:val="00D65979"/>
    <w:rsid w:val="00D661A7"/>
    <w:rsid w:val="00D80588"/>
    <w:rsid w:val="00D81303"/>
    <w:rsid w:val="00D83EC0"/>
    <w:rsid w:val="00D91AD4"/>
    <w:rsid w:val="00DA5BB0"/>
    <w:rsid w:val="00DA6940"/>
    <w:rsid w:val="00DA783F"/>
    <w:rsid w:val="00DB22DD"/>
    <w:rsid w:val="00DC2DAC"/>
    <w:rsid w:val="00DC5FF6"/>
    <w:rsid w:val="00DC7EE0"/>
    <w:rsid w:val="00DD00C5"/>
    <w:rsid w:val="00DD4F4F"/>
    <w:rsid w:val="00DD7408"/>
    <w:rsid w:val="00DD79D3"/>
    <w:rsid w:val="00DD7B29"/>
    <w:rsid w:val="00DE1577"/>
    <w:rsid w:val="00DE174D"/>
    <w:rsid w:val="00DE3552"/>
    <w:rsid w:val="00DE3B2A"/>
    <w:rsid w:val="00DE449B"/>
    <w:rsid w:val="00DE5C85"/>
    <w:rsid w:val="00DE64AC"/>
    <w:rsid w:val="00DF018A"/>
    <w:rsid w:val="00DF19F3"/>
    <w:rsid w:val="00DF6447"/>
    <w:rsid w:val="00DF693A"/>
    <w:rsid w:val="00E03A39"/>
    <w:rsid w:val="00E04FFC"/>
    <w:rsid w:val="00E06206"/>
    <w:rsid w:val="00E10FEE"/>
    <w:rsid w:val="00E22D5F"/>
    <w:rsid w:val="00E2586A"/>
    <w:rsid w:val="00E25CD5"/>
    <w:rsid w:val="00E26177"/>
    <w:rsid w:val="00E262A7"/>
    <w:rsid w:val="00E26519"/>
    <w:rsid w:val="00E27565"/>
    <w:rsid w:val="00E31378"/>
    <w:rsid w:val="00E31DD4"/>
    <w:rsid w:val="00E33644"/>
    <w:rsid w:val="00E36AAF"/>
    <w:rsid w:val="00E42B2E"/>
    <w:rsid w:val="00E452A3"/>
    <w:rsid w:val="00E51023"/>
    <w:rsid w:val="00E52305"/>
    <w:rsid w:val="00E54295"/>
    <w:rsid w:val="00E55223"/>
    <w:rsid w:val="00E60B35"/>
    <w:rsid w:val="00E61410"/>
    <w:rsid w:val="00E630BC"/>
    <w:rsid w:val="00E6634C"/>
    <w:rsid w:val="00E71C2F"/>
    <w:rsid w:val="00E73A4F"/>
    <w:rsid w:val="00E83209"/>
    <w:rsid w:val="00E84A57"/>
    <w:rsid w:val="00E8611C"/>
    <w:rsid w:val="00E86420"/>
    <w:rsid w:val="00E8732B"/>
    <w:rsid w:val="00E928B3"/>
    <w:rsid w:val="00EA0A71"/>
    <w:rsid w:val="00EB2580"/>
    <w:rsid w:val="00EC262D"/>
    <w:rsid w:val="00EC2C54"/>
    <w:rsid w:val="00EC3C85"/>
    <w:rsid w:val="00EC488E"/>
    <w:rsid w:val="00EC5ED9"/>
    <w:rsid w:val="00ED1366"/>
    <w:rsid w:val="00ED29EA"/>
    <w:rsid w:val="00ED4AAF"/>
    <w:rsid w:val="00ED5731"/>
    <w:rsid w:val="00ED5C44"/>
    <w:rsid w:val="00ED7F10"/>
    <w:rsid w:val="00EE2BF1"/>
    <w:rsid w:val="00EE426E"/>
    <w:rsid w:val="00EE6CEA"/>
    <w:rsid w:val="00EE7505"/>
    <w:rsid w:val="00EE78CE"/>
    <w:rsid w:val="00EF392B"/>
    <w:rsid w:val="00F00A80"/>
    <w:rsid w:val="00F02C8D"/>
    <w:rsid w:val="00F05985"/>
    <w:rsid w:val="00F11A1D"/>
    <w:rsid w:val="00F213ED"/>
    <w:rsid w:val="00F2603D"/>
    <w:rsid w:val="00F26169"/>
    <w:rsid w:val="00F279D9"/>
    <w:rsid w:val="00F32530"/>
    <w:rsid w:val="00F332B7"/>
    <w:rsid w:val="00F35806"/>
    <w:rsid w:val="00F35A82"/>
    <w:rsid w:val="00F37A36"/>
    <w:rsid w:val="00F42355"/>
    <w:rsid w:val="00F44834"/>
    <w:rsid w:val="00F4712B"/>
    <w:rsid w:val="00F47DB4"/>
    <w:rsid w:val="00F51B49"/>
    <w:rsid w:val="00F54161"/>
    <w:rsid w:val="00F57AFE"/>
    <w:rsid w:val="00F6464A"/>
    <w:rsid w:val="00F67B67"/>
    <w:rsid w:val="00F7049E"/>
    <w:rsid w:val="00F7286C"/>
    <w:rsid w:val="00F74AD1"/>
    <w:rsid w:val="00F77173"/>
    <w:rsid w:val="00F824B3"/>
    <w:rsid w:val="00F858C8"/>
    <w:rsid w:val="00F86526"/>
    <w:rsid w:val="00F87E4F"/>
    <w:rsid w:val="00F92FF8"/>
    <w:rsid w:val="00F932CB"/>
    <w:rsid w:val="00F96662"/>
    <w:rsid w:val="00FC4061"/>
    <w:rsid w:val="00FC55FE"/>
    <w:rsid w:val="00FC66A3"/>
    <w:rsid w:val="00FC70B8"/>
    <w:rsid w:val="00FD556B"/>
    <w:rsid w:val="00FF10C7"/>
    <w:rsid w:val="00FF162D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7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7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29B0E-0A53-4CA2-88B0-D3D10CC5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Женис Райымбеков</cp:lastModifiedBy>
  <cp:revision>6</cp:revision>
  <cp:lastPrinted>2020-10-22T10:45:00Z</cp:lastPrinted>
  <dcterms:created xsi:type="dcterms:W3CDTF">2021-01-12T06:03:00Z</dcterms:created>
  <dcterms:modified xsi:type="dcterms:W3CDTF">2021-01-12T09:12:00Z</dcterms:modified>
</cp:coreProperties>
</file>